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ADE" w:rsidRPr="00170003" w:rsidRDefault="00553ADE" w:rsidP="000E7B77">
      <w:pPr>
        <w:spacing w:after="0" w:line="276" w:lineRule="auto"/>
        <w:jc w:val="both"/>
        <w:rPr>
          <w:rFonts w:ascii="Palatino Linotype" w:hAnsi="Palatino Linotype" w:cs="Tahoma"/>
          <w:b/>
          <w:sz w:val="24"/>
          <w:szCs w:val="24"/>
        </w:rPr>
      </w:pPr>
      <w:r w:rsidRPr="00170003">
        <w:rPr>
          <w:rFonts w:ascii="Palatino Linotype" w:hAnsi="Palatino Linotype" w:cs="Tahoma"/>
          <w:b/>
          <w:sz w:val="24"/>
          <w:szCs w:val="24"/>
        </w:rPr>
        <w:t>VOTO PARTICULAR QUE FORMULA EL COMISIONADO LUIS GUSTAVO PARRA NORIEGA, EN RELACIÓN CON LA RESOLUCIÓN DEL RECURSO DE REVISIÓN</w:t>
      </w:r>
      <w:r w:rsidR="003410EA">
        <w:rPr>
          <w:rFonts w:ascii="Palatino Linotype" w:hAnsi="Palatino Linotype" w:cs="Tahoma"/>
          <w:b/>
          <w:sz w:val="24"/>
          <w:szCs w:val="24"/>
        </w:rPr>
        <w:t xml:space="preserve"> </w:t>
      </w:r>
      <w:r w:rsidR="0077488C" w:rsidRPr="00170003">
        <w:rPr>
          <w:rFonts w:ascii="Palatino Linotype" w:hAnsi="Palatino Linotype" w:cs="Tahoma"/>
          <w:b/>
          <w:bCs/>
          <w:sz w:val="24"/>
          <w:szCs w:val="24"/>
          <w:lang w:val="es-MX"/>
        </w:rPr>
        <w:t xml:space="preserve">03061/INFOEM/IP/RR/2018 </w:t>
      </w:r>
      <w:r w:rsidRPr="00170003">
        <w:rPr>
          <w:rFonts w:ascii="Palatino Linotype" w:hAnsi="Palatino Linotype" w:cs="Tahoma"/>
          <w:b/>
          <w:sz w:val="24"/>
          <w:szCs w:val="24"/>
        </w:rPr>
        <w:t xml:space="preserve">PROMOVIDO EN CONTRA DEL </w:t>
      </w:r>
      <w:r w:rsidR="00092DF2" w:rsidRPr="00170003">
        <w:rPr>
          <w:rFonts w:ascii="Palatino Linotype" w:hAnsi="Palatino Linotype" w:cs="Tahoma"/>
          <w:b/>
          <w:sz w:val="24"/>
          <w:szCs w:val="24"/>
        </w:rPr>
        <w:t>AYUNTAMIENTO DE IXTAPALUCA</w:t>
      </w:r>
      <w:r w:rsidRPr="00170003">
        <w:rPr>
          <w:rFonts w:ascii="Palatino Linotype" w:hAnsi="Palatino Linotype" w:cs="Tahoma"/>
          <w:b/>
          <w:sz w:val="24"/>
          <w:szCs w:val="24"/>
        </w:rPr>
        <w:t>.</w:t>
      </w:r>
    </w:p>
    <w:p w:rsidR="00553ADE" w:rsidRPr="00170003" w:rsidRDefault="00553ADE" w:rsidP="000E7B77">
      <w:pPr>
        <w:spacing w:after="0" w:line="276" w:lineRule="auto"/>
        <w:jc w:val="both"/>
        <w:rPr>
          <w:rFonts w:ascii="Palatino Linotype" w:hAnsi="Palatino Linotype" w:cs="Tahoma"/>
          <w:sz w:val="24"/>
          <w:szCs w:val="24"/>
        </w:rPr>
      </w:pPr>
    </w:p>
    <w:p w:rsidR="00553ADE" w:rsidRPr="00170003" w:rsidRDefault="00553ADE" w:rsidP="000E7B77">
      <w:pPr>
        <w:spacing w:after="0" w:line="276" w:lineRule="auto"/>
        <w:jc w:val="both"/>
        <w:rPr>
          <w:rFonts w:ascii="Palatino Linotype" w:hAnsi="Palatino Linotype" w:cs="Tahoma"/>
          <w:sz w:val="24"/>
          <w:szCs w:val="24"/>
        </w:rPr>
      </w:pPr>
      <w:r w:rsidRPr="00170003">
        <w:rPr>
          <w:rFonts w:ascii="Palatino Linotype" w:hAnsi="Palatino Linotype" w:cs="Tahoma"/>
          <w:sz w:val="24"/>
          <w:szCs w:val="24"/>
        </w:rPr>
        <w:t xml:space="preserve">En términos de lo dispuesto por el artículo </w:t>
      </w:r>
      <w:r w:rsidR="00927BD1" w:rsidRPr="00170003">
        <w:rPr>
          <w:rFonts w:ascii="Palatino Linotype" w:hAnsi="Palatino Linotype" w:cs="Tahoma"/>
          <w:sz w:val="24"/>
          <w:szCs w:val="24"/>
        </w:rPr>
        <w:t xml:space="preserve">189, párrafo primero, de la Ley de Transparencia y Acceso a la Información Pública del Estado de México y Municipios; </w:t>
      </w:r>
      <w:r w:rsidRPr="00170003">
        <w:rPr>
          <w:rFonts w:ascii="Palatino Linotype" w:hAnsi="Palatino Linotype" w:cs="Tahoma"/>
          <w:sz w:val="24"/>
          <w:szCs w:val="24"/>
        </w:rPr>
        <w:t xml:space="preserve">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00584D73" w:rsidRPr="00170003">
        <w:rPr>
          <w:rFonts w:ascii="Palatino Linotype" w:hAnsi="Palatino Linotype" w:cs="Tahoma"/>
          <w:b/>
          <w:sz w:val="24"/>
          <w:szCs w:val="24"/>
        </w:rPr>
        <w:t>V</w:t>
      </w:r>
      <w:r w:rsidRPr="00170003">
        <w:rPr>
          <w:rFonts w:ascii="Palatino Linotype" w:hAnsi="Palatino Linotype" w:cs="Tahoma"/>
          <w:b/>
          <w:sz w:val="24"/>
          <w:szCs w:val="24"/>
        </w:rPr>
        <w:t xml:space="preserve">oto </w:t>
      </w:r>
      <w:r w:rsidR="00584D73" w:rsidRPr="00170003">
        <w:rPr>
          <w:rFonts w:ascii="Palatino Linotype" w:hAnsi="Palatino Linotype" w:cs="Tahoma"/>
          <w:b/>
          <w:sz w:val="24"/>
          <w:szCs w:val="24"/>
        </w:rPr>
        <w:t>P</w:t>
      </w:r>
      <w:r w:rsidRPr="00170003">
        <w:rPr>
          <w:rFonts w:ascii="Palatino Linotype" w:hAnsi="Palatino Linotype" w:cs="Tahoma"/>
          <w:b/>
          <w:sz w:val="24"/>
          <w:szCs w:val="24"/>
        </w:rPr>
        <w:t>articular</w:t>
      </w:r>
      <w:r w:rsidRPr="00170003">
        <w:rPr>
          <w:rFonts w:ascii="Palatino Linotype" w:hAnsi="Palatino Linotype" w:cs="Tahoma"/>
          <w:sz w:val="24"/>
          <w:szCs w:val="24"/>
        </w:rPr>
        <w:t xml:space="preserve"> por no compartir en su totalidad las consideraciones que sustentan la </w:t>
      </w:r>
      <w:r w:rsidR="00584D73" w:rsidRPr="00170003">
        <w:rPr>
          <w:rFonts w:ascii="Palatino Linotype" w:hAnsi="Palatino Linotype" w:cs="Tahoma"/>
          <w:sz w:val="24"/>
          <w:szCs w:val="24"/>
        </w:rPr>
        <w:t>R</w:t>
      </w:r>
      <w:r w:rsidRPr="00170003">
        <w:rPr>
          <w:rFonts w:ascii="Palatino Linotype" w:hAnsi="Palatino Linotype" w:cs="Tahoma"/>
          <w:sz w:val="24"/>
          <w:szCs w:val="24"/>
        </w:rPr>
        <w:t xml:space="preserve">esolución del </w:t>
      </w:r>
      <w:r w:rsidR="00584D73" w:rsidRPr="00170003">
        <w:rPr>
          <w:rFonts w:ascii="Palatino Linotype" w:hAnsi="Palatino Linotype" w:cs="Tahoma"/>
          <w:sz w:val="24"/>
          <w:szCs w:val="24"/>
        </w:rPr>
        <w:t>R</w:t>
      </w:r>
      <w:r w:rsidRPr="00170003">
        <w:rPr>
          <w:rFonts w:ascii="Palatino Linotype" w:hAnsi="Palatino Linotype" w:cs="Tahoma"/>
          <w:sz w:val="24"/>
          <w:szCs w:val="24"/>
        </w:rPr>
        <w:t xml:space="preserve">ecurso de </w:t>
      </w:r>
      <w:r w:rsidR="00584D73" w:rsidRPr="00170003">
        <w:rPr>
          <w:rFonts w:ascii="Palatino Linotype" w:hAnsi="Palatino Linotype" w:cs="Tahoma"/>
          <w:sz w:val="24"/>
          <w:szCs w:val="24"/>
        </w:rPr>
        <w:t>R</w:t>
      </w:r>
      <w:r w:rsidRPr="00170003">
        <w:rPr>
          <w:rFonts w:ascii="Palatino Linotype" w:hAnsi="Palatino Linotype" w:cs="Tahoma"/>
          <w:sz w:val="24"/>
          <w:szCs w:val="24"/>
        </w:rPr>
        <w:t xml:space="preserve">evisión </w:t>
      </w:r>
      <w:r w:rsidR="00170003" w:rsidRPr="00170003">
        <w:rPr>
          <w:rFonts w:ascii="Palatino Linotype" w:hAnsi="Palatino Linotype" w:cs="Tahoma"/>
          <w:sz w:val="24"/>
          <w:szCs w:val="24"/>
        </w:rPr>
        <w:t>03061/INFOEM/IP/RR/2018</w:t>
      </w:r>
      <w:r w:rsidRPr="00170003">
        <w:rPr>
          <w:rFonts w:ascii="Palatino Linotype" w:hAnsi="Palatino Linotype" w:cs="Tahoma"/>
          <w:sz w:val="24"/>
          <w:szCs w:val="24"/>
        </w:rPr>
        <w:t>.</w:t>
      </w:r>
    </w:p>
    <w:p w:rsidR="00553ADE" w:rsidRPr="00170003" w:rsidRDefault="00553ADE" w:rsidP="000E7B77">
      <w:pPr>
        <w:spacing w:after="0" w:line="276" w:lineRule="auto"/>
        <w:jc w:val="both"/>
        <w:rPr>
          <w:rFonts w:ascii="Palatino Linotype" w:hAnsi="Palatino Linotype" w:cs="Tahoma"/>
          <w:sz w:val="24"/>
          <w:szCs w:val="24"/>
        </w:rPr>
      </w:pPr>
    </w:p>
    <w:p w:rsidR="005523D2" w:rsidRDefault="0037237D" w:rsidP="000E7B77">
      <w:pPr>
        <w:spacing w:after="0" w:line="276" w:lineRule="auto"/>
        <w:jc w:val="both"/>
        <w:rPr>
          <w:rFonts w:ascii="Palatino Linotype" w:hAnsi="Palatino Linotype" w:cs="Tahoma"/>
          <w:sz w:val="24"/>
          <w:szCs w:val="24"/>
        </w:rPr>
      </w:pPr>
      <w:r w:rsidRPr="00170003">
        <w:rPr>
          <w:rFonts w:ascii="Palatino Linotype" w:hAnsi="Palatino Linotype" w:cs="Tahoma"/>
          <w:sz w:val="24"/>
          <w:szCs w:val="24"/>
        </w:rPr>
        <w:t>El Recurso de Revisión que nos ocupa, der</w:t>
      </w:r>
      <w:r w:rsidR="0077488C" w:rsidRPr="00170003">
        <w:rPr>
          <w:rFonts w:ascii="Palatino Linotype" w:hAnsi="Palatino Linotype" w:cs="Tahoma"/>
          <w:sz w:val="24"/>
          <w:szCs w:val="24"/>
        </w:rPr>
        <w:t>ivó de una solicitud en la que el</w:t>
      </w:r>
      <w:r w:rsidRPr="00170003">
        <w:rPr>
          <w:rFonts w:ascii="Palatino Linotype" w:hAnsi="Palatino Linotype" w:cs="Tahoma"/>
          <w:sz w:val="24"/>
          <w:szCs w:val="24"/>
        </w:rPr>
        <w:t xml:space="preserve"> particular requirió </w:t>
      </w:r>
      <w:r w:rsidR="0077488C" w:rsidRPr="00170003">
        <w:rPr>
          <w:rFonts w:ascii="Palatino Linotype" w:hAnsi="Palatino Linotype" w:cs="Tahoma"/>
          <w:sz w:val="24"/>
          <w:szCs w:val="24"/>
        </w:rPr>
        <w:t>al Ayuntamiento de Ixtapaluca</w:t>
      </w:r>
      <w:r w:rsidRPr="00170003">
        <w:rPr>
          <w:rFonts w:ascii="Palatino Linotype" w:hAnsi="Palatino Linotype" w:cs="Tahoma"/>
          <w:sz w:val="24"/>
          <w:szCs w:val="24"/>
        </w:rPr>
        <w:t xml:space="preserve">, </w:t>
      </w:r>
      <w:r w:rsidR="0077488C" w:rsidRPr="00170003">
        <w:rPr>
          <w:rFonts w:ascii="Palatino Linotype" w:hAnsi="Palatino Linotype" w:cs="Tahoma"/>
          <w:sz w:val="24"/>
          <w:szCs w:val="24"/>
        </w:rPr>
        <w:t xml:space="preserve">un listado, respecto </w:t>
      </w:r>
      <w:r w:rsidR="003410EA">
        <w:rPr>
          <w:rFonts w:ascii="Palatino Linotype" w:hAnsi="Palatino Linotype" w:cs="Tahoma"/>
          <w:sz w:val="24"/>
          <w:szCs w:val="24"/>
        </w:rPr>
        <w:t>de</w:t>
      </w:r>
      <w:r w:rsidR="0077488C" w:rsidRPr="00170003">
        <w:rPr>
          <w:rFonts w:ascii="Palatino Linotype" w:hAnsi="Palatino Linotype" w:cs="Tahoma"/>
          <w:sz w:val="24"/>
          <w:szCs w:val="24"/>
        </w:rPr>
        <w:t xml:space="preserve"> las obras públicas que se llevaron a cabo en el trienio</w:t>
      </w:r>
      <w:r w:rsidR="003410EA">
        <w:rPr>
          <w:rFonts w:ascii="Palatino Linotype" w:hAnsi="Palatino Linotype" w:cs="Tahoma"/>
          <w:sz w:val="24"/>
          <w:szCs w:val="24"/>
        </w:rPr>
        <w:t xml:space="preserve"> del Ayuntamiento</w:t>
      </w:r>
      <w:r w:rsidR="0077488C" w:rsidRPr="00170003">
        <w:rPr>
          <w:rFonts w:ascii="Palatino Linotype" w:hAnsi="Palatino Linotype" w:cs="Tahoma"/>
          <w:sz w:val="24"/>
          <w:szCs w:val="24"/>
        </w:rPr>
        <w:t xml:space="preserve">, </w:t>
      </w:r>
      <w:r w:rsidR="009F6181" w:rsidRPr="00170003">
        <w:rPr>
          <w:rFonts w:ascii="Palatino Linotype" w:hAnsi="Palatino Linotype" w:cs="Tahoma"/>
          <w:sz w:val="24"/>
          <w:szCs w:val="24"/>
        </w:rPr>
        <w:t>con el respectivo presupuesto y rubros detallados del monto total, donde se precise</w:t>
      </w:r>
      <w:r w:rsidR="003410EA">
        <w:rPr>
          <w:rFonts w:ascii="Palatino Linotype" w:hAnsi="Palatino Linotype" w:cs="Tahoma"/>
          <w:sz w:val="24"/>
          <w:szCs w:val="24"/>
        </w:rPr>
        <w:t>n</w:t>
      </w:r>
      <w:r w:rsidR="009F6181" w:rsidRPr="00170003">
        <w:rPr>
          <w:rFonts w:ascii="Palatino Linotype" w:hAnsi="Palatino Linotype" w:cs="Tahoma"/>
          <w:sz w:val="24"/>
          <w:szCs w:val="24"/>
        </w:rPr>
        <w:t xml:space="preserve"> las compras necesarias para realizar las mismas</w:t>
      </w:r>
      <w:r w:rsidR="003410EA">
        <w:rPr>
          <w:rFonts w:ascii="Palatino Linotype" w:hAnsi="Palatino Linotype" w:cs="Tahoma"/>
          <w:sz w:val="24"/>
          <w:szCs w:val="24"/>
        </w:rPr>
        <w:t xml:space="preserve"> y</w:t>
      </w:r>
      <w:r w:rsidR="009F6181" w:rsidRPr="00170003">
        <w:rPr>
          <w:rFonts w:ascii="Palatino Linotype" w:hAnsi="Palatino Linotype" w:cs="Tahoma"/>
          <w:sz w:val="24"/>
          <w:szCs w:val="24"/>
        </w:rPr>
        <w:t xml:space="preserve"> se incluya</w:t>
      </w:r>
      <w:r w:rsidR="003410EA">
        <w:rPr>
          <w:rFonts w:ascii="Palatino Linotype" w:hAnsi="Palatino Linotype" w:cs="Tahoma"/>
          <w:sz w:val="24"/>
          <w:szCs w:val="24"/>
        </w:rPr>
        <w:t>n</w:t>
      </w:r>
      <w:r w:rsidR="009F6181" w:rsidRPr="00170003">
        <w:rPr>
          <w:rFonts w:ascii="Palatino Linotype" w:hAnsi="Palatino Linotype" w:cs="Tahoma"/>
          <w:sz w:val="24"/>
          <w:szCs w:val="24"/>
        </w:rPr>
        <w:t xml:space="preserve"> las empresas, el tipo de manera detallada</w:t>
      </w:r>
      <w:r w:rsidR="003410EA">
        <w:rPr>
          <w:rFonts w:ascii="Palatino Linotype" w:hAnsi="Palatino Linotype" w:cs="Tahoma"/>
          <w:sz w:val="24"/>
          <w:szCs w:val="24"/>
        </w:rPr>
        <w:t xml:space="preserve"> por cada obra</w:t>
      </w:r>
      <w:r w:rsidR="009F6181" w:rsidRPr="00170003">
        <w:rPr>
          <w:rFonts w:ascii="Palatino Linotype" w:hAnsi="Palatino Linotype" w:cs="Tahoma"/>
          <w:sz w:val="24"/>
          <w:szCs w:val="24"/>
        </w:rPr>
        <w:t>.</w:t>
      </w:r>
      <w:r w:rsidR="000E7B77">
        <w:rPr>
          <w:rFonts w:ascii="Palatino Linotype" w:hAnsi="Palatino Linotype" w:cs="Tahoma"/>
          <w:sz w:val="24"/>
          <w:szCs w:val="24"/>
        </w:rPr>
        <w:t xml:space="preserve"> </w:t>
      </w:r>
      <w:r w:rsidR="009F6181" w:rsidRPr="00170003">
        <w:rPr>
          <w:rFonts w:ascii="Palatino Linotype" w:hAnsi="Palatino Linotype" w:cs="Tahoma"/>
          <w:sz w:val="24"/>
          <w:szCs w:val="24"/>
        </w:rPr>
        <w:t xml:space="preserve">El Sujeto Obligado, después de solicitar una prórroga, omitió dar contestación al requerimiento de información; ante tal circunstancia, el solicitante, interpuso un Recurso de Revisión, </w:t>
      </w:r>
      <w:r w:rsidR="00741E70" w:rsidRPr="00170003">
        <w:rPr>
          <w:rFonts w:ascii="Palatino Linotype" w:hAnsi="Palatino Linotype" w:cs="Tahoma"/>
          <w:sz w:val="24"/>
          <w:szCs w:val="24"/>
        </w:rPr>
        <w:t xml:space="preserve">en donde se agravió </w:t>
      </w:r>
      <w:r w:rsidR="00D20732">
        <w:rPr>
          <w:rFonts w:ascii="Palatino Linotype" w:hAnsi="Palatino Linotype" w:cs="Tahoma"/>
          <w:sz w:val="24"/>
          <w:szCs w:val="24"/>
        </w:rPr>
        <w:t>por</w:t>
      </w:r>
      <w:r w:rsidR="009F6181" w:rsidRPr="00170003">
        <w:rPr>
          <w:rFonts w:ascii="Palatino Linotype" w:hAnsi="Palatino Linotype" w:cs="Tahoma"/>
          <w:sz w:val="24"/>
          <w:szCs w:val="24"/>
        </w:rPr>
        <w:t xml:space="preserve"> la falta de respuesta del Ayuntamiento </w:t>
      </w:r>
      <w:r w:rsidR="00741E70" w:rsidRPr="00170003">
        <w:rPr>
          <w:rFonts w:ascii="Palatino Linotype" w:hAnsi="Palatino Linotype" w:cs="Tahoma"/>
          <w:sz w:val="24"/>
          <w:szCs w:val="24"/>
        </w:rPr>
        <w:t>de Ixtapaluca.</w:t>
      </w:r>
      <w:r w:rsidR="00D20732">
        <w:rPr>
          <w:rFonts w:ascii="Palatino Linotype" w:hAnsi="Palatino Linotype" w:cs="Tahoma"/>
          <w:sz w:val="24"/>
          <w:szCs w:val="24"/>
        </w:rPr>
        <w:t xml:space="preserve"> </w:t>
      </w:r>
    </w:p>
    <w:p w:rsidR="005523D2" w:rsidRDefault="005523D2" w:rsidP="000E7B77">
      <w:pPr>
        <w:spacing w:after="0" w:line="276" w:lineRule="auto"/>
        <w:jc w:val="both"/>
        <w:rPr>
          <w:rFonts w:ascii="Palatino Linotype" w:hAnsi="Palatino Linotype" w:cs="Tahoma"/>
          <w:sz w:val="24"/>
          <w:szCs w:val="24"/>
        </w:rPr>
      </w:pPr>
    </w:p>
    <w:p w:rsidR="0037237D" w:rsidRPr="00170003" w:rsidRDefault="0037237D" w:rsidP="000E7B77">
      <w:pPr>
        <w:spacing w:after="0" w:line="276" w:lineRule="auto"/>
        <w:jc w:val="both"/>
        <w:rPr>
          <w:rFonts w:ascii="Palatino Linotype" w:hAnsi="Palatino Linotype" w:cs="Tahoma"/>
          <w:sz w:val="24"/>
          <w:szCs w:val="24"/>
        </w:rPr>
      </w:pPr>
      <w:r w:rsidRPr="00170003">
        <w:rPr>
          <w:rFonts w:ascii="Palatino Linotype" w:hAnsi="Palatino Linotype" w:cs="Tahoma"/>
          <w:sz w:val="24"/>
          <w:szCs w:val="24"/>
        </w:rPr>
        <w:t xml:space="preserve">En este sentido, mediante un análisis fundado y motivado, </w:t>
      </w:r>
      <w:r w:rsidR="005523D2">
        <w:rPr>
          <w:rFonts w:ascii="Palatino Linotype" w:hAnsi="Palatino Linotype" w:cs="Tahoma"/>
          <w:sz w:val="24"/>
          <w:szCs w:val="24"/>
        </w:rPr>
        <w:t>la</w:t>
      </w:r>
      <w:r w:rsidRPr="00170003">
        <w:rPr>
          <w:rFonts w:ascii="Palatino Linotype" w:hAnsi="Palatino Linotype" w:cs="Tahoma"/>
          <w:sz w:val="24"/>
          <w:szCs w:val="24"/>
        </w:rPr>
        <w:t xml:space="preserve"> Comisionad</w:t>
      </w:r>
      <w:r w:rsidR="005523D2">
        <w:rPr>
          <w:rFonts w:ascii="Palatino Linotype" w:hAnsi="Palatino Linotype" w:cs="Tahoma"/>
          <w:sz w:val="24"/>
          <w:szCs w:val="24"/>
        </w:rPr>
        <w:t>a</w:t>
      </w:r>
      <w:r w:rsidRPr="00170003">
        <w:rPr>
          <w:rFonts w:ascii="Palatino Linotype" w:hAnsi="Palatino Linotype" w:cs="Tahoma"/>
          <w:sz w:val="24"/>
          <w:szCs w:val="24"/>
        </w:rPr>
        <w:t xml:space="preserve"> Ponente </w:t>
      </w:r>
      <w:r w:rsidR="00092DF2" w:rsidRPr="00170003">
        <w:rPr>
          <w:rFonts w:ascii="Palatino Linotype" w:hAnsi="Palatino Linotype" w:cs="Tahoma"/>
          <w:sz w:val="24"/>
          <w:szCs w:val="24"/>
        </w:rPr>
        <w:t>advirtió que el Sujeto Obligado, efectivamente no había otorgado respuesta al requerimiento informativo; por lo que, procedió analizar la naturaleza de la información</w:t>
      </w:r>
      <w:r w:rsidR="005523D2">
        <w:rPr>
          <w:rFonts w:ascii="Palatino Linotype" w:hAnsi="Palatino Linotype" w:cs="Tahoma"/>
          <w:sz w:val="24"/>
          <w:szCs w:val="24"/>
        </w:rPr>
        <w:t xml:space="preserve"> y</w:t>
      </w:r>
      <w:r w:rsidR="00092DF2" w:rsidRPr="00170003">
        <w:rPr>
          <w:rFonts w:ascii="Palatino Linotype" w:hAnsi="Palatino Linotype" w:cs="Tahoma"/>
          <w:sz w:val="24"/>
          <w:szCs w:val="24"/>
        </w:rPr>
        <w:t xml:space="preserve">, determinó que es </w:t>
      </w:r>
      <w:r w:rsidR="005523D2">
        <w:rPr>
          <w:rFonts w:ascii="Palatino Linotype" w:hAnsi="Palatino Linotype" w:cs="Tahoma"/>
          <w:sz w:val="24"/>
          <w:szCs w:val="24"/>
        </w:rPr>
        <w:t>información</w:t>
      </w:r>
      <w:r w:rsidR="00092DF2" w:rsidRPr="00170003">
        <w:rPr>
          <w:rFonts w:ascii="Palatino Linotype" w:hAnsi="Palatino Linotype" w:cs="Tahoma"/>
          <w:sz w:val="24"/>
          <w:szCs w:val="24"/>
        </w:rPr>
        <w:t xml:space="preserve"> pública de oficio, conforme </w:t>
      </w:r>
      <w:r w:rsidR="005523D2">
        <w:rPr>
          <w:rFonts w:ascii="Palatino Linotype" w:hAnsi="Palatino Linotype" w:cs="Tahoma"/>
          <w:sz w:val="24"/>
          <w:szCs w:val="24"/>
        </w:rPr>
        <w:t xml:space="preserve">a </w:t>
      </w:r>
      <w:r w:rsidR="00092DF2" w:rsidRPr="00170003">
        <w:rPr>
          <w:rFonts w:ascii="Palatino Linotype" w:hAnsi="Palatino Linotype" w:cs="Tahoma"/>
          <w:sz w:val="24"/>
          <w:szCs w:val="24"/>
        </w:rPr>
        <w:t xml:space="preserve">los Lineamientos Técnicos Generales para la Publicación, Homologación y </w:t>
      </w:r>
      <w:r w:rsidR="00092DF2" w:rsidRPr="00170003">
        <w:rPr>
          <w:rFonts w:ascii="Palatino Linotype" w:hAnsi="Palatino Linotype" w:cs="Tahoma"/>
          <w:sz w:val="24"/>
          <w:szCs w:val="24"/>
        </w:rPr>
        <w:lastRenderedPageBreak/>
        <w:t>Estandarización de la Información de las Obligaciones Establecidas en el Título Quinto y en la Facción IV del Artículo 31 de la Ley General de Transparencia y Acceso a la Información Pública, que deben de Difundir los Sujetos Obligados en los Portales de Internet y en la Plataforma Nacional de Transparencia.</w:t>
      </w:r>
    </w:p>
    <w:p w:rsidR="007A18DC" w:rsidRPr="00170003" w:rsidRDefault="007A18DC" w:rsidP="000E7B77">
      <w:pPr>
        <w:spacing w:after="0" w:line="276" w:lineRule="auto"/>
        <w:jc w:val="both"/>
        <w:rPr>
          <w:rFonts w:ascii="Palatino Linotype" w:hAnsi="Palatino Linotype" w:cs="Tahoma"/>
          <w:sz w:val="24"/>
          <w:szCs w:val="24"/>
        </w:rPr>
      </w:pPr>
    </w:p>
    <w:p w:rsidR="0037237D" w:rsidRPr="00170003" w:rsidRDefault="0037237D" w:rsidP="000E7B77">
      <w:pPr>
        <w:spacing w:after="0" w:line="276" w:lineRule="auto"/>
        <w:jc w:val="both"/>
        <w:rPr>
          <w:rFonts w:ascii="Palatino Linotype" w:hAnsi="Palatino Linotype" w:cs="Tahoma"/>
          <w:sz w:val="24"/>
          <w:szCs w:val="24"/>
        </w:rPr>
      </w:pPr>
      <w:r w:rsidRPr="00170003">
        <w:rPr>
          <w:rFonts w:ascii="Palatino Linotype" w:hAnsi="Palatino Linotype" w:cs="Tahoma"/>
          <w:sz w:val="24"/>
          <w:szCs w:val="24"/>
        </w:rPr>
        <w:t xml:space="preserve">Conforme a lo anterior, se aprobó </w:t>
      </w:r>
      <w:r w:rsidR="005523D2" w:rsidRPr="005523D2">
        <w:rPr>
          <w:rFonts w:ascii="Palatino Linotype" w:hAnsi="Palatino Linotype" w:cs="Tahoma"/>
          <w:sz w:val="24"/>
          <w:szCs w:val="24"/>
        </w:rPr>
        <w:t>ordenar</w:t>
      </w:r>
      <w:r w:rsidR="00CA2787" w:rsidRPr="00170003">
        <w:rPr>
          <w:rFonts w:ascii="Palatino Linotype" w:hAnsi="Palatino Linotype" w:cs="Tahoma"/>
          <w:b/>
          <w:sz w:val="24"/>
          <w:szCs w:val="24"/>
        </w:rPr>
        <w:t xml:space="preserve"> </w:t>
      </w:r>
      <w:r w:rsidR="00092DF2" w:rsidRPr="00170003">
        <w:rPr>
          <w:rFonts w:ascii="Palatino Linotype" w:hAnsi="Palatino Linotype" w:cs="Tahoma"/>
          <w:sz w:val="24"/>
          <w:szCs w:val="24"/>
        </w:rPr>
        <w:t>al Ayuntamiento de Ixtapaluca, a at</w:t>
      </w:r>
      <w:r w:rsidR="002E6535">
        <w:rPr>
          <w:rFonts w:ascii="Palatino Linotype" w:hAnsi="Palatino Linotype" w:cs="Tahoma"/>
          <w:sz w:val="24"/>
          <w:szCs w:val="24"/>
        </w:rPr>
        <w:t>ender</w:t>
      </w:r>
      <w:r w:rsidR="00092DF2" w:rsidRPr="00170003">
        <w:rPr>
          <w:rFonts w:ascii="Palatino Linotype" w:hAnsi="Palatino Linotype" w:cs="Tahoma"/>
          <w:sz w:val="24"/>
          <w:szCs w:val="24"/>
        </w:rPr>
        <w:t xml:space="preserve"> la solicitud de información y proporcion</w:t>
      </w:r>
      <w:r w:rsidR="002E6535">
        <w:rPr>
          <w:rFonts w:ascii="Palatino Linotype" w:hAnsi="Palatino Linotype" w:cs="Tahoma"/>
          <w:sz w:val="24"/>
          <w:szCs w:val="24"/>
        </w:rPr>
        <w:t>ar</w:t>
      </w:r>
      <w:r w:rsidR="00092DF2" w:rsidRPr="00170003">
        <w:rPr>
          <w:rFonts w:ascii="Palatino Linotype" w:hAnsi="Palatino Linotype" w:cs="Tahoma"/>
          <w:sz w:val="24"/>
          <w:szCs w:val="24"/>
        </w:rPr>
        <w:t xml:space="preserve"> al </w:t>
      </w:r>
      <w:r w:rsidR="002E6535">
        <w:rPr>
          <w:rFonts w:ascii="Palatino Linotype" w:hAnsi="Palatino Linotype" w:cs="Tahoma"/>
          <w:sz w:val="24"/>
          <w:szCs w:val="24"/>
        </w:rPr>
        <w:t>R</w:t>
      </w:r>
      <w:r w:rsidR="00092DF2" w:rsidRPr="00170003">
        <w:rPr>
          <w:rFonts w:ascii="Palatino Linotype" w:hAnsi="Palatino Linotype" w:cs="Tahoma"/>
          <w:sz w:val="24"/>
          <w:szCs w:val="24"/>
        </w:rPr>
        <w:t>ecurrente los documentos</w:t>
      </w:r>
      <w:r w:rsidR="003E5D1D">
        <w:rPr>
          <w:rFonts w:ascii="Palatino Linotype" w:hAnsi="Palatino Linotype" w:cs="Tahoma"/>
          <w:sz w:val="24"/>
          <w:szCs w:val="24"/>
        </w:rPr>
        <w:t xml:space="preserve"> en donde conste</w:t>
      </w:r>
      <w:r w:rsidR="003E5D1D" w:rsidRPr="003E5D1D">
        <w:rPr>
          <w:rFonts w:ascii="Palatino Linotype" w:hAnsi="Palatino Linotype" w:cs="Tahoma"/>
          <w:sz w:val="24"/>
          <w:szCs w:val="24"/>
        </w:rPr>
        <w:t xml:space="preserve"> </w:t>
      </w:r>
      <w:r w:rsidR="003E5D1D" w:rsidRPr="00170003">
        <w:rPr>
          <w:rFonts w:ascii="Palatino Linotype" w:hAnsi="Palatino Linotype" w:cs="Tahoma"/>
          <w:sz w:val="24"/>
          <w:szCs w:val="24"/>
        </w:rPr>
        <w:t>lo siguiente: nombre de la obra, montos totales, ubicación, compras realizadas para su ejecución, empresas adjudic</w:t>
      </w:r>
      <w:r w:rsidR="003E5D1D">
        <w:rPr>
          <w:rFonts w:ascii="Palatino Linotype" w:hAnsi="Palatino Linotype" w:cs="Tahoma"/>
          <w:sz w:val="24"/>
          <w:szCs w:val="24"/>
        </w:rPr>
        <w:t xml:space="preserve">adas y procesos de adjudicación, todo ello, respecto del periodo comprendido del primero </w:t>
      </w:r>
      <w:r w:rsidR="00092DF2" w:rsidRPr="00170003">
        <w:rPr>
          <w:rFonts w:ascii="Palatino Linotype" w:hAnsi="Palatino Linotype" w:cs="Tahoma"/>
          <w:sz w:val="24"/>
          <w:szCs w:val="24"/>
        </w:rPr>
        <w:t>de enero de dos mil dieciséis al seis</w:t>
      </w:r>
      <w:r w:rsidR="003E5D1D">
        <w:rPr>
          <w:rFonts w:ascii="Palatino Linotype" w:hAnsi="Palatino Linotype" w:cs="Tahoma"/>
          <w:sz w:val="24"/>
          <w:szCs w:val="24"/>
        </w:rPr>
        <w:t xml:space="preserve"> de julio de dos mil dieciocho.</w:t>
      </w:r>
    </w:p>
    <w:p w:rsidR="0037237D" w:rsidRPr="00170003" w:rsidRDefault="0037237D" w:rsidP="000E7B77">
      <w:pPr>
        <w:spacing w:after="0" w:line="276" w:lineRule="auto"/>
        <w:jc w:val="both"/>
        <w:rPr>
          <w:rFonts w:ascii="Palatino Linotype" w:hAnsi="Palatino Linotype" w:cs="Tahoma"/>
          <w:sz w:val="24"/>
          <w:szCs w:val="24"/>
        </w:rPr>
      </w:pPr>
    </w:p>
    <w:p w:rsidR="00741E70" w:rsidRPr="00170003" w:rsidRDefault="00741E70" w:rsidP="000E7B77">
      <w:pPr>
        <w:spacing w:after="0" w:line="276" w:lineRule="auto"/>
        <w:jc w:val="both"/>
        <w:rPr>
          <w:rFonts w:ascii="Palatino Linotype" w:hAnsi="Palatino Linotype" w:cs="Arial"/>
          <w:sz w:val="24"/>
          <w:szCs w:val="24"/>
        </w:rPr>
      </w:pPr>
      <w:r w:rsidRPr="00170003">
        <w:rPr>
          <w:rFonts w:ascii="Palatino Linotype" w:hAnsi="Palatino Linotype" w:cs="Arial"/>
          <w:sz w:val="24"/>
          <w:szCs w:val="24"/>
        </w:rPr>
        <w:t xml:space="preserve">Al respecto, se instruye </w:t>
      </w:r>
      <w:r w:rsidR="00170003" w:rsidRPr="00170003">
        <w:rPr>
          <w:rFonts w:ascii="Palatino Linotype" w:hAnsi="Palatino Linotype" w:cs="Arial"/>
          <w:sz w:val="24"/>
          <w:szCs w:val="24"/>
        </w:rPr>
        <w:t>al</w:t>
      </w:r>
      <w:r w:rsidRPr="00170003">
        <w:rPr>
          <w:rFonts w:ascii="Palatino Linotype" w:hAnsi="Palatino Linotype" w:cs="Arial"/>
          <w:sz w:val="24"/>
          <w:szCs w:val="24"/>
        </w:rPr>
        <w:t xml:space="preserve"> </w:t>
      </w:r>
      <w:r w:rsidR="00170003" w:rsidRPr="00170003">
        <w:rPr>
          <w:rFonts w:ascii="Palatino Linotype" w:hAnsi="Palatino Linotype" w:cs="Arial"/>
          <w:sz w:val="24"/>
          <w:szCs w:val="24"/>
        </w:rPr>
        <w:t>Ayuntamiento de Ixtapaluca</w:t>
      </w:r>
      <w:r w:rsidRPr="00170003">
        <w:rPr>
          <w:rFonts w:ascii="Palatino Linotype" w:hAnsi="Palatino Linotype" w:cs="Arial"/>
          <w:sz w:val="24"/>
          <w:szCs w:val="24"/>
        </w:rPr>
        <w:t xml:space="preserve"> a que proporcione</w:t>
      </w:r>
      <w:r w:rsidR="00170003" w:rsidRPr="00170003">
        <w:rPr>
          <w:rFonts w:ascii="Palatino Linotype" w:hAnsi="Palatino Linotype" w:cs="Arial"/>
          <w:sz w:val="24"/>
          <w:szCs w:val="24"/>
        </w:rPr>
        <w:t>, de ser procedente</w:t>
      </w:r>
      <w:r w:rsidRPr="00170003">
        <w:rPr>
          <w:rFonts w:ascii="Palatino Linotype" w:hAnsi="Palatino Linotype" w:cs="Arial"/>
          <w:sz w:val="24"/>
          <w:szCs w:val="24"/>
        </w:rPr>
        <w:t xml:space="preserve"> la información</w:t>
      </w:r>
      <w:r w:rsidR="00170003" w:rsidRPr="00170003">
        <w:rPr>
          <w:rFonts w:ascii="Palatino Linotype" w:hAnsi="Palatino Linotype" w:cs="Arial"/>
          <w:sz w:val="24"/>
          <w:szCs w:val="24"/>
        </w:rPr>
        <w:t>,</w:t>
      </w:r>
      <w:r w:rsidRPr="00170003">
        <w:rPr>
          <w:rFonts w:ascii="Palatino Linotype" w:hAnsi="Palatino Linotype" w:cs="Arial"/>
          <w:sz w:val="24"/>
          <w:szCs w:val="24"/>
        </w:rPr>
        <w:t xml:space="preserve"> testando los datos confidenciales</w:t>
      </w:r>
      <w:r w:rsidR="00C60A03">
        <w:rPr>
          <w:rFonts w:ascii="Palatino Linotype" w:hAnsi="Palatino Linotype" w:cs="Arial"/>
          <w:sz w:val="24"/>
          <w:szCs w:val="24"/>
        </w:rPr>
        <w:t>, entre lo que se incluyó el Registro Federal de Contribuyentes (RFC) de los contratistas</w:t>
      </w:r>
      <w:r w:rsidRPr="00170003">
        <w:rPr>
          <w:rFonts w:ascii="Palatino Linotype" w:hAnsi="Palatino Linotype" w:cs="Arial"/>
          <w:sz w:val="24"/>
          <w:szCs w:val="24"/>
        </w:rPr>
        <w:t>; sin embargo, desde mi punto de vista, el dato correspondiente al Registro Federal de Contribuyentes de la persona</w:t>
      </w:r>
      <w:r w:rsidR="00157620">
        <w:rPr>
          <w:rFonts w:ascii="Palatino Linotype" w:hAnsi="Palatino Linotype" w:cs="Arial"/>
          <w:sz w:val="24"/>
          <w:szCs w:val="24"/>
        </w:rPr>
        <w:t>s</w:t>
      </w:r>
      <w:r w:rsidRPr="00170003">
        <w:rPr>
          <w:rFonts w:ascii="Palatino Linotype" w:hAnsi="Palatino Linotype" w:cs="Arial"/>
          <w:sz w:val="24"/>
          <w:szCs w:val="24"/>
        </w:rPr>
        <w:t xml:space="preserve"> física</w:t>
      </w:r>
      <w:r w:rsidR="00157620">
        <w:rPr>
          <w:rFonts w:ascii="Palatino Linotype" w:hAnsi="Palatino Linotype" w:cs="Arial"/>
          <w:sz w:val="24"/>
          <w:szCs w:val="24"/>
        </w:rPr>
        <w:t>s, se debió analizar</w:t>
      </w:r>
      <w:r w:rsidRPr="00170003">
        <w:rPr>
          <w:rFonts w:ascii="Palatino Linotype" w:hAnsi="Palatino Linotype" w:cs="Arial"/>
          <w:sz w:val="24"/>
          <w:szCs w:val="24"/>
        </w:rPr>
        <w:t xml:space="preserve"> de manera diferenciada.</w:t>
      </w:r>
    </w:p>
    <w:p w:rsidR="00741E70" w:rsidRPr="00170003" w:rsidRDefault="00741E70" w:rsidP="000E7B77">
      <w:pPr>
        <w:spacing w:after="0" w:line="276" w:lineRule="auto"/>
        <w:jc w:val="both"/>
        <w:rPr>
          <w:rFonts w:ascii="Palatino Linotype" w:hAnsi="Palatino Linotype" w:cs="Arial"/>
          <w:sz w:val="24"/>
          <w:szCs w:val="24"/>
        </w:rPr>
      </w:pPr>
    </w:p>
    <w:p w:rsidR="00741E70" w:rsidRPr="00170003" w:rsidRDefault="00741E70" w:rsidP="000E7B77">
      <w:pPr>
        <w:spacing w:after="0" w:line="276" w:lineRule="auto"/>
        <w:jc w:val="both"/>
        <w:rPr>
          <w:rFonts w:ascii="Palatino Linotype" w:hAnsi="Palatino Linotype" w:cs="Arial"/>
          <w:sz w:val="24"/>
          <w:szCs w:val="24"/>
        </w:rPr>
      </w:pPr>
      <w:r w:rsidRPr="00170003">
        <w:rPr>
          <w:rFonts w:ascii="Palatino Linotype" w:hAnsi="Palatino Linotype" w:cs="Arial"/>
          <w:sz w:val="24"/>
          <w:szCs w:val="24"/>
        </w:rPr>
        <w:t>Lo anterior es así</w:t>
      </w:r>
      <w:r w:rsidR="005C225B">
        <w:rPr>
          <w:rFonts w:ascii="Palatino Linotype" w:hAnsi="Palatino Linotype" w:cs="Arial"/>
          <w:sz w:val="24"/>
          <w:szCs w:val="24"/>
        </w:rPr>
        <w:t>,</w:t>
      </w:r>
      <w:r w:rsidRPr="00170003">
        <w:rPr>
          <w:rFonts w:ascii="Palatino Linotype" w:hAnsi="Palatino Linotype" w:cs="Arial"/>
          <w:sz w:val="24"/>
          <w:szCs w:val="24"/>
        </w:rPr>
        <w:t xml:space="preserve"> toda vez que las personas físicas tramitan su inscripción en el Registro Federal de Contribuyentes con el propósito de realizar mediante esa clave de identificación, operaciones o actividades de naturaleza fiscal</w:t>
      </w:r>
      <w:r w:rsidR="005C225B">
        <w:rPr>
          <w:rFonts w:ascii="Palatino Linotype" w:hAnsi="Palatino Linotype" w:cs="Arial"/>
          <w:sz w:val="24"/>
          <w:szCs w:val="24"/>
        </w:rPr>
        <w:t xml:space="preserve"> (directamente está vinculada con el pago de contribuciones federales)</w:t>
      </w:r>
      <w:r w:rsidRPr="00170003">
        <w:rPr>
          <w:rFonts w:ascii="Palatino Linotype" w:hAnsi="Palatino Linotype" w:cs="Arial"/>
          <w:sz w:val="24"/>
          <w:szCs w:val="24"/>
        </w:rPr>
        <w:t>; por lo que, esta clave es necesario entregarla a cualquier persona física o jurídico colectiva con la que se pretenda tener una relación comercial o profesional, que implique un pago como contraprestación o remuneración.</w:t>
      </w:r>
    </w:p>
    <w:p w:rsidR="00741E70" w:rsidRPr="00170003" w:rsidRDefault="00741E70" w:rsidP="000E7B77">
      <w:pPr>
        <w:spacing w:after="0" w:line="276" w:lineRule="auto"/>
        <w:jc w:val="both"/>
        <w:rPr>
          <w:rFonts w:ascii="Palatino Linotype" w:hAnsi="Palatino Linotype" w:cs="Arial"/>
          <w:sz w:val="24"/>
          <w:szCs w:val="24"/>
        </w:rPr>
      </w:pPr>
    </w:p>
    <w:p w:rsidR="00741E70" w:rsidRPr="00170003" w:rsidRDefault="00741E70" w:rsidP="000E7B77">
      <w:pPr>
        <w:spacing w:after="0" w:line="276" w:lineRule="auto"/>
        <w:jc w:val="both"/>
        <w:rPr>
          <w:rFonts w:ascii="Palatino Linotype" w:hAnsi="Palatino Linotype" w:cs="Arial"/>
          <w:sz w:val="24"/>
          <w:szCs w:val="24"/>
        </w:rPr>
      </w:pPr>
      <w:r w:rsidRPr="00170003">
        <w:rPr>
          <w:rFonts w:ascii="Palatino Linotype" w:hAnsi="Palatino Linotype" w:cs="Arial"/>
          <w:sz w:val="24"/>
          <w:szCs w:val="24"/>
        </w:rPr>
        <w:t xml:space="preserve">En este sentido, en el caso de que el </w:t>
      </w:r>
      <w:r w:rsidR="00A37655">
        <w:rPr>
          <w:rFonts w:ascii="Palatino Linotype" w:hAnsi="Palatino Linotype" w:cs="Arial"/>
          <w:sz w:val="24"/>
          <w:szCs w:val="24"/>
        </w:rPr>
        <w:t>contratista</w:t>
      </w:r>
      <w:r w:rsidRPr="00170003">
        <w:rPr>
          <w:rFonts w:ascii="Palatino Linotype" w:hAnsi="Palatino Linotype" w:cs="Arial"/>
          <w:sz w:val="24"/>
          <w:szCs w:val="24"/>
        </w:rPr>
        <w:t xml:space="preserve"> </w:t>
      </w:r>
      <w:r w:rsidR="00A37655">
        <w:rPr>
          <w:rFonts w:ascii="Palatino Linotype" w:hAnsi="Palatino Linotype" w:cs="Arial"/>
          <w:sz w:val="24"/>
          <w:szCs w:val="24"/>
        </w:rPr>
        <w:t>con el que</w:t>
      </w:r>
      <w:r w:rsidRPr="00170003">
        <w:rPr>
          <w:rFonts w:ascii="Palatino Linotype" w:hAnsi="Palatino Linotype" w:cs="Arial"/>
          <w:sz w:val="24"/>
          <w:szCs w:val="24"/>
        </w:rPr>
        <w:t xml:space="preserve"> cualquier </w:t>
      </w:r>
      <w:r w:rsidR="00A37655">
        <w:rPr>
          <w:rFonts w:ascii="Palatino Linotype" w:hAnsi="Palatino Linotype" w:cs="Arial"/>
          <w:sz w:val="24"/>
          <w:szCs w:val="24"/>
        </w:rPr>
        <w:t>S</w:t>
      </w:r>
      <w:r w:rsidRPr="00170003">
        <w:rPr>
          <w:rFonts w:ascii="Palatino Linotype" w:hAnsi="Palatino Linotype" w:cs="Arial"/>
          <w:sz w:val="24"/>
          <w:szCs w:val="24"/>
        </w:rPr>
        <w:t xml:space="preserve">ujeto </w:t>
      </w:r>
      <w:r w:rsidR="00A37655">
        <w:rPr>
          <w:rFonts w:ascii="Palatino Linotype" w:hAnsi="Palatino Linotype" w:cs="Arial"/>
          <w:sz w:val="24"/>
          <w:szCs w:val="24"/>
        </w:rPr>
        <w:t>O</w:t>
      </w:r>
      <w:r w:rsidRPr="00170003">
        <w:rPr>
          <w:rFonts w:ascii="Palatino Linotype" w:hAnsi="Palatino Linotype" w:cs="Arial"/>
          <w:sz w:val="24"/>
          <w:szCs w:val="24"/>
        </w:rPr>
        <w:t xml:space="preserve">bligado por la Ley de Transparencia y Acceso a la Información Pública del Estado de México y Municipios, sea una persona física, esta debe cumplir con los requisitos establecidos en los artículos 29 y 32 del Reglamento de la Ley de Contratación </w:t>
      </w:r>
      <w:r w:rsidRPr="00170003">
        <w:rPr>
          <w:rFonts w:ascii="Palatino Linotype" w:hAnsi="Palatino Linotype" w:cs="Arial"/>
          <w:sz w:val="24"/>
          <w:szCs w:val="24"/>
        </w:rPr>
        <w:lastRenderedPageBreak/>
        <w:t>Pública del Estado de México y Municipios; es decir, para que las personas puedan participar en actos de adquisición o de contratación de servicios que requieran las dependencias, organismos auxiliares y tribunales administrativos, deberán presentar, entre otras cosas, la cédula de identificación fiscal (Registro Federal de Contribuyentes); por lo que la entrega de dicho dato en las facturas</w:t>
      </w:r>
      <w:r w:rsidR="000E1146">
        <w:rPr>
          <w:rFonts w:ascii="Palatino Linotype" w:hAnsi="Palatino Linotype" w:cs="Arial"/>
          <w:sz w:val="24"/>
          <w:szCs w:val="24"/>
        </w:rPr>
        <w:t xml:space="preserve">, contratos o documentos que transparenten el ejercicio de recursos públicos en contrataciones de obra pública, </w:t>
      </w:r>
      <w:r w:rsidRPr="00170003">
        <w:rPr>
          <w:rFonts w:ascii="Palatino Linotype" w:hAnsi="Palatino Linotype" w:cs="Arial"/>
          <w:sz w:val="24"/>
          <w:szCs w:val="24"/>
        </w:rPr>
        <w:t>permite verificar cumplimiento de esta disposición legal.</w:t>
      </w:r>
    </w:p>
    <w:p w:rsidR="00741E70" w:rsidRPr="00170003" w:rsidRDefault="00741E70" w:rsidP="000E7B77">
      <w:pPr>
        <w:spacing w:after="0" w:line="276" w:lineRule="auto"/>
        <w:jc w:val="both"/>
        <w:rPr>
          <w:rFonts w:ascii="Palatino Linotype" w:hAnsi="Palatino Linotype" w:cs="Arial"/>
          <w:sz w:val="24"/>
          <w:szCs w:val="24"/>
        </w:rPr>
      </w:pPr>
    </w:p>
    <w:p w:rsidR="00741E70" w:rsidRPr="00170003" w:rsidRDefault="00741E70" w:rsidP="000E7B77">
      <w:pPr>
        <w:spacing w:after="0" w:line="276" w:lineRule="auto"/>
        <w:jc w:val="both"/>
        <w:rPr>
          <w:rFonts w:ascii="Palatino Linotype" w:hAnsi="Palatino Linotype" w:cs="Arial"/>
          <w:sz w:val="24"/>
          <w:szCs w:val="24"/>
        </w:rPr>
      </w:pPr>
      <w:r w:rsidRPr="00170003">
        <w:rPr>
          <w:rFonts w:ascii="Palatino Linotype" w:hAnsi="Palatino Linotype" w:cs="Arial"/>
          <w:sz w:val="24"/>
          <w:szCs w:val="24"/>
        </w:rPr>
        <w:t xml:space="preserve">Por lo tanto, en el presente caso, si bien el Registro Federal de Contribuyentes de personas físicas es un dato personal, también lo es, que corresponde a un requisito indispensable para ser </w:t>
      </w:r>
      <w:r w:rsidR="000E1146">
        <w:rPr>
          <w:rFonts w:ascii="Palatino Linotype" w:hAnsi="Palatino Linotype" w:cs="Arial"/>
          <w:sz w:val="24"/>
          <w:szCs w:val="24"/>
        </w:rPr>
        <w:t xml:space="preserve">contratista </w:t>
      </w:r>
      <w:r w:rsidRPr="00170003">
        <w:rPr>
          <w:rFonts w:ascii="Palatino Linotype" w:hAnsi="Palatino Linotype" w:cs="Arial"/>
          <w:sz w:val="24"/>
          <w:szCs w:val="24"/>
        </w:rPr>
        <w:t xml:space="preserve">y poder llevar a cabo actividades comerciales con los </w:t>
      </w:r>
      <w:r w:rsidR="00FC392D">
        <w:rPr>
          <w:rFonts w:ascii="Palatino Linotype" w:hAnsi="Palatino Linotype" w:cs="Arial"/>
          <w:sz w:val="24"/>
          <w:szCs w:val="24"/>
        </w:rPr>
        <w:t>s</w:t>
      </w:r>
      <w:r w:rsidRPr="00170003">
        <w:rPr>
          <w:rFonts w:ascii="Palatino Linotype" w:hAnsi="Palatino Linotype" w:cs="Arial"/>
          <w:sz w:val="24"/>
          <w:szCs w:val="24"/>
        </w:rPr>
        <w:t xml:space="preserve">ujetos </w:t>
      </w:r>
      <w:r w:rsidR="00FC392D">
        <w:rPr>
          <w:rFonts w:ascii="Palatino Linotype" w:hAnsi="Palatino Linotype" w:cs="Arial"/>
          <w:sz w:val="24"/>
          <w:szCs w:val="24"/>
        </w:rPr>
        <w:t>o</w:t>
      </w:r>
      <w:r w:rsidRPr="00170003">
        <w:rPr>
          <w:rFonts w:ascii="Palatino Linotype" w:hAnsi="Palatino Linotype" w:cs="Arial"/>
          <w:sz w:val="24"/>
          <w:szCs w:val="24"/>
        </w:rPr>
        <w:t xml:space="preserve">bligados de la Entidad, ya que sin este, no se pueden realizar dichas actividades, por lo que su entrega es un elemento adicional que respalda la legalidad de los procesos </w:t>
      </w:r>
      <w:r w:rsidR="005B7EB8">
        <w:rPr>
          <w:rFonts w:ascii="Palatino Linotype" w:hAnsi="Palatino Linotype" w:cs="Arial"/>
          <w:sz w:val="24"/>
          <w:szCs w:val="24"/>
        </w:rPr>
        <w:t>de contratación de obra pública</w:t>
      </w:r>
      <w:r w:rsidRPr="00170003">
        <w:rPr>
          <w:rFonts w:ascii="Palatino Linotype" w:hAnsi="Palatino Linotype" w:cs="Arial"/>
          <w:sz w:val="24"/>
          <w:szCs w:val="24"/>
        </w:rPr>
        <w:t>.</w:t>
      </w:r>
    </w:p>
    <w:p w:rsidR="00741E70" w:rsidRPr="00170003" w:rsidRDefault="00741E70" w:rsidP="000E7B77">
      <w:pPr>
        <w:spacing w:after="0" w:line="276" w:lineRule="auto"/>
        <w:jc w:val="both"/>
        <w:rPr>
          <w:rFonts w:ascii="Palatino Linotype" w:hAnsi="Palatino Linotype" w:cs="Arial"/>
          <w:sz w:val="24"/>
          <w:szCs w:val="24"/>
        </w:rPr>
      </w:pPr>
    </w:p>
    <w:p w:rsidR="00741E70" w:rsidRPr="00170003" w:rsidRDefault="00741E70" w:rsidP="000E7B77">
      <w:pPr>
        <w:spacing w:after="0" w:line="276" w:lineRule="auto"/>
        <w:jc w:val="both"/>
        <w:rPr>
          <w:rFonts w:ascii="Palatino Linotype" w:hAnsi="Palatino Linotype" w:cs="Arial"/>
          <w:sz w:val="24"/>
          <w:szCs w:val="24"/>
        </w:rPr>
      </w:pPr>
      <w:r w:rsidRPr="00170003">
        <w:rPr>
          <w:rFonts w:ascii="Palatino Linotype" w:hAnsi="Palatino Linotype" w:cs="Arial"/>
          <w:sz w:val="24"/>
          <w:szCs w:val="24"/>
        </w:rPr>
        <w:t>En ese contexto, entregar el Registro Federal de Contribuyentes aún</w:t>
      </w:r>
      <w:r w:rsidR="00FC392D">
        <w:rPr>
          <w:rFonts w:ascii="Palatino Linotype" w:hAnsi="Palatino Linotype" w:cs="Arial"/>
          <w:sz w:val="24"/>
          <w:szCs w:val="24"/>
        </w:rPr>
        <w:t xml:space="preserve"> de personas físicas cuando aceptan realizar la construcción de obras públicas con recursos del erario</w:t>
      </w:r>
      <w:r w:rsidRPr="00170003">
        <w:rPr>
          <w:rFonts w:ascii="Palatino Linotype" w:hAnsi="Palatino Linotype" w:cs="Arial"/>
          <w:sz w:val="24"/>
          <w:szCs w:val="24"/>
        </w:rPr>
        <w:t>, propiciaría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rsidR="00741E70" w:rsidRPr="00170003" w:rsidRDefault="00741E70" w:rsidP="000E7B77">
      <w:pPr>
        <w:spacing w:after="0" w:line="276" w:lineRule="auto"/>
        <w:jc w:val="both"/>
        <w:rPr>
          <w:rFonts w:ascii="Palatino Linotype" w:hAnsi="Palatino Linotype" w:cs="Arial"/>
          <w:sz w:val="24"/>
          <w:szCs w:val="24"/>
        </w:rPr>
      </w:pPr>
    </w:p>
    <w:p w:rsidR="00741E70" w:rsidRPr="00170003" w:rsidRDefault="00741E70" w:rsidP="000E7B77">
      <w:pPr>
        <w:spacing w:after="0" w:line="276" w:lineRule="auto"/>
        <w:jc w:val="both"/>
        <w:rPr>
          <w:rFonts w:ascii="Palatino Linotype" w:hAnsi="Palatino Linotype" w:cs="Arial"/>
          <w:sz w:val="24"/>
          <w:szCs w:val="24"/>
        </w:rPr>
      </w:pPr>
      <w:r w:rsidRPr="00170003">
        <w:rPr>
          <w:rFonts w:ascii="Palatino Linotype" w:hAnsi="Palatino Linotype" w:cs="Arial"/>
          <w:sz w:val="24"/>
          <w:szCs w:val="24"/>
        </w:rPr>
        <w:t xml:space="preserve">No debe dejarse de lado, que cualquier persona que pretenda tener cualquier tipo de relación, laboral, empresarial, de trámites, servicios o comercial, para el caso que nos ocupa, debe en cierta medida ceder información relacionada con su vida, en aras de obtener el beneficio pretendido, como formar parte de los proveedores gubernamentales, al respecto, la información sobre la que se debe conceder publicidad sólo es aquella relacionada con el ejercicio de recursos públicos o de </w:t>
      </w:r>
      <w:r w:rsidRPr="00170003">
        <w:rPr>
          <w:rFonts w:ascii="Palatino Linotype" w:hAnsi="Palatino Linotype" w:cs="Arial"/>
          <w:sz w:val="24"/>
          <w:szCs w:val="24"/>
        </w:rPr>
        <w:lastRenderedPageBreak/>
        <w:t>funciones y las facturas de pagos de sujetos obligados están vinculadas directamente con el ejercicio de recursos públicos.</w:t>
      </w:r>
    </w:p>
    <w:p w:rsidR="00741E70" w:rsidRPr="00170003" w:rsidRDefault="00741E70" w:rsidP="000E7B77">
      <w:pPr>
        <w:spacing w:after="0" w:line="276" w:lineRule="auto"/>
        <w:jc w:val="both"/>
        <w:rPr>
          <w:rFonts w:ascii="Palatino Linotype" w:hAnsi="Palatino Linotype" w:cs="Arial"/>
          <w:sz w:val="24"/>
          <w:szCs w:val="24"/>
        </w:rPr>
      </w:pPr>
    </w:p>
    <w:p w:rsidR="00741E70" w:rsidRPr="00170003" w:rsidRDefault="00741E70" w:rsidP="000E7B77">
      <w:pPr>
        <w:spacing w:after="0" w:line="276" w:lineRule="auto"/>
        <w:jc w:val="both"/>
        <w:rPr>
          <w:rFonts w:ascii="Palatino Linotype" w:hAnsi="Palatino Linotype" w:cs="Arial"/>
          <w:sz w:val="24"/>
          <w:szCs w:val="24"/>
        </w:rPr>
      </w:pPr>
      <w:r w:rsidRPr="00170003">
        <w:rPr>
          <w:rFonts w:ascii="Palatino Linotype" w:hAnsi="Palatino Linotype" w:cs="Arial"/>
          <w:sz w:val="24"/>
          <w:szCs w:val="24"/>
        </w:rPr>
        <w:t xml:space="preserve">Conforme a lo anterior, se considera que se debió realizar una prueba de interés público, con base en los elementos de </w:t>
      </w:r>
      <w:r w:rsidRPr="006958AD">
        <w:rPr>
          <w:rFonts w:ascii="Palatino Linotype" w:hAnsi="Palatino Linotype" w:cs="Arial"/>
          <w:sz w:val="24"/>
          <w:szCs w:val="24"/>
        </w:rPr>
        <w:t>idoneidad, necesidad y proporcionalidad,</w:t>
      </w:r>
      <w:r w:rsidRPr="00170003">
        <w:rPr>
          <w:rFonts w:ascii="Palatino Linotype" w:hAnsi="Palatino Linotype" w:cs="Arial"/>
          <w:b/>
          <w:sz w:val="24"/>
          <w:szCs w:val="24"/>
        </w:rPr>
        <w:t xml:space="preserve"> </w:t>
      </w:r>
      <w:r w:rsidRPr="00170003">
        <w:rPr>
          <w:rFonts w:ascii="Palatino Linotype" w:hAnsi="Palatino Linotype" w:cs="Arial"/>
          <w:sz w:val="24"/>
          <w:szCs w:val="24"/>
        </w:rPr>
        <w:t>de conformidad del artículo 184 de la Ley de Transparencia y Acceso a la Información Pública del Estado de México y Municipios, con el fin de ponderar la clasificación del Registro Federal de Contribuyentes, con el beneficio que provocaría a la sociedad el hacer público el mismo, a efecto que el ejercicio de los recursos públicos en materia de contrataciones y adquisiciones sea utilizado conforme a la normatividad aplicable.</w:t>
      </w:r>
    </w:p>
    <w:p w:rsidR="00741E70" w:rsidRPr="00170003" w:rsidRDefault="00741E70" w:rsidP="000E7B77">
      <w:pPr>
        <w:spacing w:after="0" w:line="276" w:lineRule="auto"/>
        <w:jc w:val="both"/>
        <w:rPr>
          <w:rFonts w:ascii="Palatino Linotype" w:hAnsi="Palatino Linotype" w:cs="Arial"/>
          <w:sz w:val="24"/>
          <w:szCs w:val="24"/>
        </w:rPr>
      </w:pPr>
    </w:p>
    <w:p w:rsidR="00741E70" w:rsidRPr="00170003" w:rsidRDefault="00741E70" w:rsidP="000E7B77">
      <w:pPr>
        <w:spacing w:after="0" w:line="276" w:lineRule="auto"/>
        <w:jc w:val="both"/>
        <w:rPr>
          <w:rFonts w:ascii="Palatino Linotype" w:hAnsi="Palatino Linotype" w:cs="Arial"/>
          <w:sz w:val="24"/>
          <w:szCs w:val="24"/>
        </w:rPr>
      </w:pPr>
      <w:r w:rsidRPr="00170003">
        <w:rPr>
          <w:rFonts w:ascii="Palatino Linotype" w:hAnsi="Palatino Linotype" w:cs="Arial"/>
          <w:sz w:val="24"/>
          <w:szCs w:val="24"/>
        </w:rPr>
        <w:t>En ese orden de ideas, debió analizarse cada uno de los supuestos previamente señalados, bajo las consideraciones que se exponen a continuación:</w:t>
      </w:r>
    </w:p>
    <w:p w:rsidR="00741E70" w:rsidRPr="00170003" w:rsidRDefault="00741E70" w:rsidP="000E7B77">
      <w:pPr>
        <w:spacing w:after="0" w:line="276" w:lineRule="auto"/>
        <w:jc w:val="both"/>
        <w:rPr>
          <w:rFonts w:ascii="Palatino Linotype" w:hAnsi="Palatino Linotype" w:cs="Arial"/>
          <w:sz w:val="24"/>
          <w:szCs w:val="24"/>
        </w:rPr>
      </w:pPr>
    </w:p>
    <w:p w:rsidR="00741E70" w:rsidRPr="00170003" w:rsidRDefault="00741E70" w:rsidP="000E7B77">
      <w:pPr>
        <w:pStyle w:val="Prrafodelista"/>
        <w:numPr>
          <w:ilvl w:val="0"/>
          <w:numId w:val="3"/>
        </w:numPr>
        <w:spacing w:after="0" w:line="276" w:lineRule="auto"/>
        <w:jc w:val="both"/>
        <w:rPr>
          <w:rFonts w:ascii="Palatino Linotype" w:hAnsi="Palatino Linotype" w:cs="Arial"/>
          <w:b/>
          <w:sz w:val="24"/>
          <w:szCs w:val="24"/>
        </w:rPr>
      </w:pPr>
      <w:r w:rsidRPr="00170003">
        <w:rPr>
          <w:rFonts w:ascii="Palatino Linotype" w:hAnsi="Palatino Linotype" w:cs="Arial"/>
          <w:b/>
          <w:sz w:val="24"/>
          <w:szCs w:val="24"/>
        </w:rPr>
        <w:t>Idoneidad:</w:t>
      </w:r>
    </w:p>
    <w:p w:rsidR="00741E70" w:rsidRPr="000E7B77" w:rsidRDefault="00741E70" w:rsidP="000E7B77">
      <w:pPr>
        <w:spacing w:after="0" w:line="276" w:lineRule="auto"/>
        <w:jc w:val="both"/>
        <w:rPr>
          <w:rFonts w:ascii="Palatino Linotype" w:hAnsi="Palatino Linotype" w:cs="Arial"/>
          <w:b/>
          <w:sz w:val="12"/>
          <w:szCs w:val="12"/>
        </w:rPr>
      </w:pPr>
    </w:p>
    <w:p w:rsidR="00741E70" w:rsidRPr="00170003" w:rsidRDefault="00741E70" w:rsidP="000E7B77">
      <w:pPr>
        <w:spacing w:after="0" w:line="276" w:lineRule="auto"/>
        <w:jc w:val="both"/>
        <w:rPr>
          <w:rFonts w:ascii="Palatino Linotype" w:hAnsi="Palatino Linotype" w:cs="Arial"/>
          <w:sz w:val="24"/>
          <w:szCs w:val="24"/>
        </w:rPr>
      </w:pPr>
      <w:r w:rsidRPr="00170003">
        <w:rPr>
          <w:rFonts w:ascii="Palatino Linotype" w:hAnsi="Palatino Linotype" w:cs="Arial"/>
          <w:sz w:val="24"/>
          <w:szCs w:val="24"/>
        </w:rPr>
        <w:t>Se considera que debe prevalecer el derecho de acceso a la información frente a la clasificación del Registro Federal de Contribuyentes de personas físicas como confidencial, ya que hacerlo público en las facturas que entregan quienes participan en contrataciones públicas, es de trascendencia social, en virtud de que su presentación es uno de los requisitos que marca el Reglamento de la Ley de Contratación Pública del Estado de México y Municipios.</w:t>
      </w:r>
    </w:p>
    <w:p w:rsidR="00741E70" w:rsidRDefault="00741E70" w:rsidP="000E7B77">
      <w:pPr>
        <w:spacing w:after="0" w:line="276" w:lineRule="auto"/>
        <w:jc w:val="both"/>
        <w:rPr>
          <w:rFonts w:ascii="Palatino Linotype" w:hAnsi="Palatino Linotype" w:cs="Arial"/>
          <w:sz w:val="24"/>
          <w:szCs w:val="24"/>
        </w:rPr>
      </w:pPr>
    </w:p>
    <w:p w:rsidR="00741E70" w:rsidRPr="00170003" w:rsidRDefault="00741E70" w:rsidP="000E7B77">
      <w:pPr>
        <w:spacing w:after="0" w:line="276" w:lineRule="auto"/>
        <w:jc w:val="both"/>
        <w:rPr>
          <w:rFonts w:ascii="Palatino Linotype" w:hAnsi="Palatino Linotype" w:cs="Arial"/>
          <w:sz w:val="24"/>
          <w:szCs w:val="24"/>
        </w:rPr>
      </w:pPr>
      <w:r w:rsidRPr="00170003">
        <w:rPr>
          <w:rFonts w:ascii="Palatino Linotype" w:hAnsi="Palatino Linotype" w:cs="Arial"/>
          <w:sz w:val="24"/>
          <w:szCs w:val="24"/>
        </w:rPr>
        <w:t>En la especie, se hace posible que los ciudadanos puedan verificar que las adquisiciones y la contratación de servicios, por parte de los sujetos obligados, siguen los procedimientos y requisitos establecidos en la normatividad aplicable; información vinculada con la erogación de recursos públicos.</w:t>
      </w:r>
    </w:p>
    <w:p w:rsidR="00741E70" w:rsidRPr="00170003" w:rsidRDefault="00741E70" w:rsidP="000E7B77">
      <w:pPr>
        <w:spacing w:after="0" w:line="276" w:lineRule="auto"/>
        <w:jc w:val="both"/>
        <w:rPr>
          <w:rFonts w:ascii="Palatino Linotype" w:hAnsi="Palatino Linotype" w:cs="Arial"/>
          <w:b/>
          <w:sz w:val="24"/>
          <w:szCs w:val="24"/>
        </w:rPr>
      </w:pPr>
    </w:p>
    <w:p w:rsidR="00741E70" w:rsidRPr="00170003" w:rsidRDefault="00741E70" w:rsidP="000E7B77">
      <w:pPr>
        <w:spacing w:after="0" w:line="276" w:lineRule="auto"/>
        <w:jc w:val="both"/>
        <w:rPr>
          <w:rFonts w:ascii="Palatino Linotype" w:hAnsi="Palatino Linotype" w:cs="Arial"/>
          <w:sz w:val="24"/>
          <w:szCs w:val="24"/>
        </w:rPr>
      </w:pPr>
      <w:r w:rsidRPr="00170003">
        <w:rPr>
          <w:rFonts w:ascii="Palatino Linotype" w:hAnsi="Palatino Linotype" w:cs="Arial"/>
          <w:sz w:val="24"/>
          <w:szCs w:val="24"/>
        </w:rPr>
        <w:t xml:space="preserve">Bajo esa lógica, con la entrega del Registro Federal de Contribuyentes de personas físicas, en las facturas de contrataciones públicas, la sociedad contaría con elementos </w:t>
      </w:r>
      <w:r w:rsidRPr="00170003">
        <w:rPr>
          <w:rFonts w:ascii="Palatino Linotype" w:hAnsi="Palatino Linotype" w:cs="Arial"/>
          <w:sz w:val="24"/>
          <w:szCs w:val="24"/>
        </w:rPr>
        <w:lastRenderedPageBreak/>
        <w:t>que posibilitarían evaluar la correcta asignación de las contrataciones que implican el uso de recursos públicos, toda vez, que se estaría frente a indicios de que las personas con quienes las instituciones públicas tienen relaciones comerciales, de negocios o profesionales, están inscritas ante el Servicio de Administración Tributaria y presumiblemente cumplen con sus obligaciones fiscales.</w:t>
      </w:r>
    </w:p>
    <w:p w:rsidR="00741E70" w:rsidRPr="00170003" w:rsidRDefault="00741E70" w:rsidP="000E7B77">
      <w:pPr>
        <w:spacing w:after="0" w:line="276" w:lineRule="auto"/>
        <w:jc w:val="both"/>
        <w:rPr>
          <w:rFonts w:ascii="Palatino Linotype" w:hAnsi="Palatino Linotype" w:cs="Arial"/>
          <w:sz w:val="24"/>
          <w:szCs w:val="24"/>
        </w:rPr>
      </w:pPr>
    </w:p>
    <w:p w:rsidR="00741E70" w:rsidRPr="00170003" w:rsidRDefault="00741E70" w:rsidP="000E7B77">
      <w:pPr>
        <w:spacing w:after="0" w:line="276" w:lineRule="auto"/>
        <w:jc w:val="both"/>
        <w:rPr>
          <w:rFonts w:ascii="Palatino Linotype" w:hAnsi="Palatino Linotype" w:cs="Arial"/>
          <w:sz w:val="24"/>
          <w:szCs w:val="24"/>
        </w:rPr>
      </w:pPr>
      <w:r w:rsidRPr="00170003">
        <w:rPr>
          <w:rFonts w:ascii="Palatino Linotype" w:hAnsi="Palatino Linotype" w:cs="Arial"/>
          <w:sz w:val="24"/>
          <w:szCs w:val="24"/>
        </w:rPr>
        <w:t>Consecuentemente, se advierte que, en el presente caso, el derecho de acceso a la información se adecua a los objetivos de las leyes aplicables; esto es, la transparencia y rendición de cuentas, sobre la forma en que los sujetos obligados ejercen recursos públicos al realizar contrataciones públicas.</w:t>
      </w:r>
    </w:p>
    <w:p w:rsidR="00741E70" w:rsidRPr="00170003" w:rsidRDefault="00741E70" w:rsidP="000E7B77">
      <w:pPr>
        <w:spacing w:after="0" w:line="276" w:lineRule="auto"/>
        <w:jc w:val="both"/>
        <w:rPr>
          <w:rFonts w:ascii="Palatino Linotype" w:hAnsi="Palatino Linotype" w:cs="Arial"/>
          <w:b/>
          <w:sz w:val="24"/>
          <w:szCs w:val="24"/>
        </w:rPr>
      </w:pPr>
    </w:p>
    <w:p w:rsidR="00741E70" w:rsidRPr="00170003" w:rsidRDefault="00741E70" w:rsidP="000E7B77">
      <w:pPr>
        <w:pStyle w:val="Prrafodelista"/>
        <w:numPr>
          <w:ilvl w:val="0"/>
          <w:numId w:val="3"/>
        </w:numPr>
        <w:spacing w:after="0" w:line="276" w:lineRule="auto"/>
        <w:jc w:val="both"/>
        <w:rPr>
          <w:rFonts w:ascii="Palatino Linotype" w:hAnsi="Palatino Linotype" w:cs="Arial"/>
          <w:b/>
          <w:sz w:val="24"/>
          <w:szCs w:val="24"/>
        </w:rPr>
      </w:pPr>
      <w:r w:rsidRPr="00170003">
        <w:rPr>
          <w:rFonts w:ascii="Palatino Linotype" w:hAnsi="Palatino Linotype" w:cs="Arial"/>
          <w:b/>
          <w:sz w:val="24"/>
          <w:szCs w:val="24"/>
        </w:rPr>
        <w:t>Necesidad:</w:t>
      </w:r>
    </w:p>
    <w:p w:rsidR="00741E70" w:rsidRPr="000E7B77" w:rsidRDefault="00741E70" w:rsidP="000E7B77">
      <w:pPr>
        <w:spacing w:after="0" w:line="276" w:lineRule="auto"/>
        <w:jc w:val="both"/>
        <w:rPr>
          <w:rFonts w:ascii="Palatino Linotype" w:hAnsi="Palatino Linotype" w:cs="Arial"/>
          <w:b/>
          <w:sz w:val="12"/>
          <w:szCs w:val="12"/>
        </w:rPr>
      </w:pPr>
    </w:p>
    <w:p w:rsidR="00741E70" w:rsidRPr="00170003" w:rsidRDefault="00741E70" w:rsidP="000E7B77">
      <w:pPr>
        <w:spacing w:after="0" w:line="276" w:lineRule="auto"/>
        <w:jc w:val="both"/>
        <w:rPr>
          <w:rFonts w:ascii="Palatino Linotype" w:hAnsi="Palatino Linotype" w:cs="Arial"/>
          <w:sz w:val="24"/>
          <w:szCs w:val="24"/>
        </w:rPr>
      </w:pPr>
      <w:r w:rsidRPr="00170003">
        <w:rPr>
          <w:rFonts w:ascii="Palatino Linotype" w:hAnsi="Palatino Linotype" w:cs="Arial"/>
          <w:sz w:val="24"/>
          <w:szCs w:val="24"/>
        </w:rPr>
        <w:t>El Registro Federal de Contribuyentes es un dato que se asienta en las facturas</w:t>
      </w:r>
      <w:r w:rsidR="006958AD">
        <w:rPr>
          <w:rFonts w:ascii="Palatino Linotype" w:hAnsi="Palatino Linotype" w:cs="Arial"/>
          <w:sz w:val="24"/>
          <w:szCs w:val="24"/>
        </w:rPr>
        <w:t xml:space="preserve"> y posiblemente en los contratos</w:t>
      </w:r>
      <w:r w:rsidRPr="00170003">
        <w:rPr>
          <w:rFonts w:ascii="Palatino Linotype" w:hAnsi="Palatino Linotype" w:cs="Arial"/>
          <w:sz w:val="24"/>
          <w:szCs w:val="24"/>
        </w:rPr>
        <w:t xml:space="preserve"> y si bien, su uso tiene que ver con el cumplimiento de disposiciones y obligaciones en materia fiscal, las facturas</w:t>
      </w:r>
      <w:r w:rsidR="006958AD">
        <w:rPr>
          <w:rFonts w:ascii="Palatino Linotype" w:hAnsi="Palatino Linotype" w:cs="Arial"/>
          <w:sz w:val="24"/>
          <w:szCs w:val="24"/>
        </w:rPr>
        <w:t xml:space="preserve"> y los contratos</w:t>
      </w:r>
      <w:r w:rsidRPr="00170003">
        <w:rPr>
          <w:rFonts w:ascii="Palatino Linotype" w:hAnsi="Palatino Linotype" w:cs="Arial"/>
          <w:sz w:val="24"/>
          <w:szCs w:val="24"/>
        </w:rPr>
        <w:t xml:space="preserve"> constituyen información pública que permite verificar el ejercicio de recursos públicos, de tal suerte, considerarlo información confidencial, impide que la sociedad tenga los elementos informativos necesarios para el debido escrutinio de ejercicio de recursos públicos utilizados por los sujetos obligados, pues como se ha señalado, el Registro Federal de Contribuyentes, es un requisito necesario para poder participar en las adquisiciones públicas del Estado de México y sus Municipios.</w:t>
      </w:r>
    </w:p>
    <w:p w:rsidR="00741E70" w:rsidRPr="00170003" w:rsidRDefault="00741E70" w:rsidP="000E7B77">
      <w:pPr>
        <w:spacing w:after="0" w:line="276" w:lineRule="auto"/>
        <w:jc w:val="both"/>
        <w:rPr>
          <w:rFonts w:ascii="Palatino Linotype" w:hAnsi="Palatino Linotype" w:cs="Arial"/>
          <w:sz w:val="24"/>
          <w:szCs w:val="24"/>
        </w:rPr>
      </w:pPr>
    </w:p>
    <w:p w:rsidR="00741E70" w:rsidRPr="00170003" w:rsidRDefault="00741E70" w:rsidP="000E7B77">
      <w:pPr>
        <w:spacing w:after="0" w:line="276" w:lineRule="auto"/>
        <w:jc w:val="both"/>
        <w:rPr>
          <w:rFonts w:ascii="Palatino Linotype" w:hAnsi="Palatino Linotype" w:cs="Arial"/>
          <w:sz w:val="24"/>
          <w:szCs w:val="24"/>
        </w:rPr>
      </w:pPr>
      <w:r w:rsidRPr="00170003">
        <w:rPr>
          <w:rFonts w:ascii="Palatino Linotype" w:hAnsi="Palatino Linotype" w:cs="Arial"/>
          <w:sz w:val="24"/>
          <w:szCs w:val="24"/>
        </w:rPr>
        <w:t>De ahí que resulte imperativa la difusión de la información, advirtiéndose una desventaja de menor proporción en cuanto a la afectación de la privacidad y la protección de datos personales, pues, como se precisó, cualquier persona que pretenda tener alguna relación de cualquier tipo, incluyendo comercial o servicios, con algún ente gubernamental, debe ceder información relacionada con su vida.</w:t>
      </w:r>
    </w:p>
    <w:p w:rsidR="00741E70" w:rsidRDefault="00741E70" w:rsidP="000E7B77">
      <w:pPr>
        <w:spacing w:after="0" w:line="276" w:lineRule="auto"/>
        <w:jc w:val="both"/>
        <w:rPr>
          <w:rFonts w:ascii="Palatino Linotype" w:hAnsi="Palatino Linotype" w:cs="Arial"/>
          <w:b/>
          <w:sz w:val="24"/>
          <w:szCs w:val="24"/>
        </w:rPr>
      </w:pPr>
    </w:p>
    <w:p w:rsidR="001607BB" w:rsidRPr="00170003" w:rsidRDefault="001607BB" w:rsidP="000E7B77">
      <w:pPr>
        <w:spacing w:after="0" w:line="276" w:lineRule="auto"/>
        <w:jc w:val="both"/>
        <w:rPr>
          <w:rFonts w:ascii="Palatino Linotype" w:hAnsi="Palatino Linotype" w:cs="Arial"/>
          <w:b/>
          <w:sz w:val="24"/>
          <w:szCs w:val="24"/>
        </w:rPr>
      </w:pPr>
    </w:p>
    <w:p w:rsidR="00741E70" w:rsidRPr="00170003" w:rsidRDefault="00741E70" w:rsidP="000E7B77">
      <w:pPr>
        <w:pStyle w:val="Prrafodelista"/>
        <w:numPr>
          <w:ilvl w:val="0"/>
          <w:numId w:val="3"/>
        </w:numPr>
        <w:spacing w:after="0" w:line="276" w:lineRule="auto"/>
        <w:jc w:val="both"/>
        <w:rPr>
          <w:rFonts w:ascii="Palatino Linotype" w:hAnsi="Palatino Linotype" w:cs="Arial"/>
          <w:b/>
          <w:sz w:val="24"/>
          <w:szCs w:val="24"/>
        </w:rPr>
      </w:pPr>
      <w:r w:rsidRPr="00170003">
        <w:rPr>
          <w:rFonts w:ascii="Palatino Linotype" w:hAnsi="Palatino Linotype" w:cs="Arial"/>
          <w:b/>
          <w:sz w:val="24"/>
          <w:szCs w:val="24"/>
        </w:rPr>
        <w:lastRenderedPageBreak/>
        <w:t>Proporcionalidad:</w:t>
      </w:r>
    </w:p>
    <w:p w:rsidR="00741E70" w:rsidRPr="000E7B77" w:rsidRDefault="00741E70" w:rsidP="000E7B77">
      <w:pPr>
        <w:spacing w:after="0" w:line="276" w:lineRule="auto"/>
        <w:jc w:val="both"/>
        <w:rPr>
          <w:rFonts w:ascii="Palatino Linotype" w:hAnsi="Palatino Linotype" w:cs="Arial"/>
          <w:sz w:val="12"/>
          <w:szCs w:val="12"/>
        </w:rPr>
      </w:pPr>
    </w:p>
    <w:p w:rsidR="00741E70" w:rsidRPr="00170003" w:rsidRDefault="00741E70" w:rsidP="000E7B77">
      <w:pPr>
        <w:spacing w:after="0" w:line="276" w:lineRule="auto"/>
        <w:jc w:val="both"/>
        <w:rPr>
          <w:rFonts w:ascii="Palatino Linotype" w:hAnsi="Palatino Linotype" w:cs="Arial"/>
          <w:sz w:val="24"/>
          <w:szCs w:val="24"/>
        </w:rPr>
      </w:pPr>
      <w:r w:rsidRPr="00170003">
        <w:rPr>
          <w:rFonts w:ascii="Palatino Linotype" w:hAnsi="Palatino Linotype" w:cs="Arial"/>
          <w:sz w:val="24"/>
          <w:szCs w:val="24"/>
        </w:rPr>
        <w:t>El bien jurídico tutelado, protección de datos personales de personas físicas, proveedores de instituciones gubernamentales, no encuentra una afectación directa, en función de que es mayor el beneficio para el interés público, al ayudar transparentar la correcta utilización de los recursos públicos por parte de los sujetos obligados.</w:t>
      </w:r>
    </w:p>
    <w:p w:rsidR="00741E70" w:rsidRPr="00170003" w:rsidRDefault="00741E70" w:rsidP="000E7B77">
      <w:pPr>
        <w:spacing w:after="0" w:line="276" w:lineRule="auto"/>
        <w:jc w:val="both"/>
        <w:rPr>
          <w:rFonts w:ascii="Palatino Linotype" w:hAnsi="Palatino Linotype" w:cs="Arial"/>
          <w:sz w:val="24"/>
          <w:szCs w:val="24"/>
        </w:rPr>
      </w:pPr>
    </w:p>
    <w:p w:rsidR="00741E70" w:rsidRPr="00170003" w:rsidRDefault="00741E70" w:rsidP="000E7B77">
      <w:pPr>
        <w:spacing w:after="0" w:line="276" w:lineRule="auto"/>
        <w:jc w:val="both"/>
        <w:rPr>
          <w:rFonts w:ascii="Palatino Linotype" w:hAnsi="Palatino Linotype" w:cs="Arial"/>
          <w:sz w:val="24"/>
          <w:szCs w:val="24"/>
        </w:rPr>
      </w:pPr>
      <w:r w:rsidRPr="00170003">
        <w:rPr>
          <w:rFonts w:ascii="Palatino Linotype" w:hAnsi="Palatino Linotype" w:cs="Arial"/>
          <w:sz w:val="24"/>
          <w:szCs w:val="24"/>
        </w:rPr>
        <w:t>Consecuentemente, el dato en comento constituye información que reviste un interés público; por tanto, no existe menoscabo en el derecho a la intimidad del titular del dato personal, cuando se entrega esta información al estar directamente vinculada la factura</w:t>
      </w:r>
      <w:r w:rsidR="0046197F">
        <w:rPr>
          <w:rFonts w:ascii="Palatino Linotype" w:hAnsi="Palatino Linotype" w:cs="Arial"/>
          <w:sz w:val="24"/>
          <w:szCs w:val="24"/>
        </w:rPr>
        <w:t xml:space="preserve"> o contrato</w:t>
      </w:r>
      <w:r w:rsidRPr="00170003">
        <w:rPr>
          <w:rFonts w:ascii="Palatino Linotype" w:hAnsi="Palatino Linotype" w:cs="Arial"/>
          <w:sz w:val="24"/>
          <w:szCs w:val="24"/>
        </w:rPr>
        <w:t>, con el ejercicio de recursos públicos; por lo que, no es posible clasificarla en términos del artículo 143, fracción I de la Ley de Transparencia y Acceso a la Información Pública del Estado de México y Municipios.</w:t>
      </w:r>
    </w:p>
    <w:p w:rsidR="00741E70" w:rsidRPr="00170003" w:rsidRDefault="00741E70" w:rsidP="000E7B77">
      <w:pPr>
        <w:spacing w:after="0" w:line="276" w:lineRule="auto"/>
        <w:jc w:val="both"/>
        <w:rPr>
          <w:rFonts w:ascii="Palatino Linotype" w:hAnsi="Palatino Linotype" w:cs="Arial"/>
          <w:sz w:val="24"/>
          <w:szCs w:val="24"/>
        </w:rPr>
      </w:pPr>
    </w:p>
    <w:p w:rsidR="00741E70" w:rsidRPr="00170003" w:rsidRDefault="00741E70" w:rsidP="000E7B77">
      <w:pPr>
        <w:spacing w:after="0" w:line="276" w:lineRule="auto"/>
        <w:jc w:val="both"/>
        <w:rPr>
          <w:rFonts w:ascii="Palatino Linotype" w:hAnsi="Palatino Linotype" w:cs="Arial"/>
          <w:sz w:val="24"/>
          <w:szCs w:val="24"/>
        </w:rPr>
      </w:pPr>
      <w:r w:rsidRPr="00170003">
        <w:rPr>
          <w:rFonts w:ascii="Palatino Linotype" w:hAnsi="Palatino Linotype" w:cs="Arial"/>
          <w:sz w:val="24"/>
          <w:szCs w:val="24"/>
        </w:rPr>
        <w:t xml:space="preserve">En conclusión, toda vez, que el Registro Federal de Contribuyentes de </w:t>
      </w:r>
      <w:r w:rsidR="0046197F">
        <w:rPr>
          <w:rFonts w:ascii="Palatino Linotype" w:hAnsi="Palatino Linotype" w:cs="Arial"/>
          <w:sz w:val="24"/>
          <w:szCs w:val="24"/>
        </w:rPr>
        <w:t>contratistas, aun tratándose de personas físicas</w:t>
      </w:r>
      <w:r w:rsidRPr="00170003">
        <w:rPr>
          <w:rFonts w:ascii="Palatino Linotype" w:hAnsi="Palatino Linotype" w:cs="Arial"/>
          <w:sz w:val="24"/>
          <w:szCs w:val="24"/>
        </w:rPr>
        <w:t xml:space="preserve">, es un requisito indispensable, para poder </w:t>
      </w:r>
      <w:r w:rsidR="0046197F">
        <w:rPr>
          <w:rFonts w:ascii="Palatino Linotype" w:hAnsi="Palatino Linotype" w:cs="Arial"/>
          <w:sz w:val="24"/>
          <w:szCs w:val="24"/>
        </w:rPr>
        <w:t xml:space="preserve">realizar </w:t>
      </w:r>
      <w:r w:rsidRPr="00170003">
        <w:rPr>
          <w:rFonts w:ascii="Palatino Linotype" w:hAnsi="Palatino Linotype" w:cs="Arial"/>
          <w:sz w:val="24"/>
          <w:szCs w:val="24"/>
        </w:rPr>
        <w:t>contra</w:t>
      </w:r>
      <w:r w:rsidR="00170003" w:rsidRPr="00170003">
        <w:rPr>
          <w:rFonts w:ascii="Palatino Linotype" w:hAnsi="Palatino Linotype" w:cs="Arial"/>
          <w:sz w:val="24"/>
          <w:szCs w:val="24"/>
        </w:rPr>
        <w:t>t</w:t>
      </w:r>
      <w:r w:rsidR="0046197F">
        <w:rPr>
          <w:rFonts w:ascii="Palatino Linotype" w:hAnsi="Palatino Linotype" w:cs="Arial"/>
          <w:sz w:val="24"/>
          <w:szCs w:val="24"/>
        </w:rPr>
        <w:t>os con instituciones públicas</w:t>
      </w:r>
      <w:r w:rsidRPr="00170003">
        <w:rPr>
          <w:rFonts w:ascii="Palatino Linotype" w:hAnsi="Palatino Linotype" w:cs="Arial"/>
          <w:sz w:val="24"/>
          <w:szCs w:val="24"/>
        </w:rPr>
        <w:t xml:space="preserve">, se debió realizar una ponderación derechos y, en su caso, </w:t>
      </w:r>
      <w:r w:rsidR="00170003" w:rsidRPr="00170003">
        <w:rPr>
          <w:rFonts w:ascii="Palatino Linotype" w:hAnsi="Palatino Linotype" w:cs="Arial"/>
          <w:sz w:val="24"/>
          <w:szCs w:val="24"/>
        </w:rPr>
        <w:t xml:space="preserve">ordenar </w:t>
      </w:r>
      <w:r w:rsidRPr="00170003">
        <w:rPr>
          <w:rFonts w:ascii="Palatino Linotype" w:hAnsi="Palatino Linotype" w:cs="Arial"/>
          <w:sz w:val="24"/>
          <w:szCs w:val="24"/>
        </w:rPr>
        <w:t xml:space="preserve">entregar dicho dato, </w:t>
      </w:r>
      <w:r w:rsidR="0046197F">
        <w:rPr>
          <w:rFonts w:ascii="Palatino Linotype" w:hAnsi="Palatino Linotype" w:cs="Arial"/>
          <w:sz w:val="24"/>
          <w:szCs w:val="24"/>
        </w:rPr>
        <w:t>en virtud de que su publicidad</w:t>
      </w:r>
      <w:r w:rsidRPr="00170003">
        <w:rPr>
          <w:rFonts w:ascii="Palatino Linotype" w:hAnsi="Palatino Linotype" w:cs="Arial"/>
          <w:sz w:val="24"/>
          <w:szCs w:val="24"/>
        </w:rPr>
        <w:t xml:space="preserve"> ayuda a transparentar la correcta utilización de los recursos públicos, por parte </w:t>
      </w:r>
      <w:r w:rsidR="00170003" w:rsidRPr="00170003">
        <w:rPr>
          <w:rFonts w:ascii="Palatino Linotype" w:hAnsi="Palatino Linotype" w:cs="Arial"/>
          <w:sz w:val="24"/>
          <w:szCs w:val="24"/>
        </w:rPr>
        <w:t>del Ayuntamiento de Ixtapaluca</w:t>
      </w:r>
      <w:r w:rsidRPr="00170003">
        <w:rPr>
          <w:rFonts w:ascii="Palatino Linotype" w:hAnsi="Palatino Linotype" w:cs="Arial"/>
          <w:sz w:val="24"/>
          <w:szCs w:val="24"/>
        </w:rPr>
        <w:t>.</w:t>
      </w:r>
    </w:p>
    <w:p w:rsidR="00741E70" w:rsidRPr="00170003" w:rsidRDefault="00741E70" w:rsidP="000E7B77">
      <w:pPr>
        <w:spacing w:after="0" w:line="276" w:lineRule="auto"/>
        <w:jc w:val="both"/>
        <w:rPr>
          <w:rFonts w:ascii="Palatino Linotype" w:hAnsi="Palatino Linotype" w:cs="Arial"/>
          <w:sz w:val="24"/>
          <w:szCs w:val="24"/>
        </w:rPr>
      </w:pPr>
    </w:p>
    <w:p w:rsidR="00741E70" w:rsidRPr="00170003" w:rsidRDefault="00741E70" w:rsidP="000E7B77">
      <w:pPr>
        <w:spacing w:after="0" w:line="276" w:lineRule="auto"/>
        <w:jc w:val="both"/>
        <w:rPr>
          <w:rFonts w:ascii="Palatino Linotype" w:hAnsi="Palatino Linotype" w:cs="Arial"/>
          <w:sz w:val="24"/>
          <w:szCs w:val="24"/>
        </w:rPr>
      </w:pPr>
      <w:r w:rsidRPr="00170003">
        <w:rPr>
          <w:rFonts w:ascii="Palatino Linotype" w:hAnsi="Palatino Linotype" w:cs="Arial"/>
          <w:sz w:val="24"/>
          <w:szCs w:val="24"/>
        </w:rPr>
        <w:t xml:space="preserve">Así, con base en los razonamientos expuestos, </w:t>
      </w:r>
      <w:r w:rsidRPr="00170003">
        <w:rPr>
          <w:rFonts w:ascii="Palatino Linotype" w:hAnsi="Palatino Linotype" w:cs="Arial"/>
          <w:b/>
          <w:sz w:val="24"/>
          <w:szCs w:val="24"/>
        </w:rPr>
        <w:t>se emite el presente voto particular</w:t>
      </w:r>
      <w:r w:rsidRPr="00170003">
        <w:rPr>
          <w:rFonts w:ascii="Palatino Linotype" w:hAnsi="Palatino Linotype" w:cs="Arial"/>
          <w:sz w:val="24"/>
          <w:szCs w:val="24"/>
        </w:rPr>
        <w:t>.</w:t>
      </w:r>
    </w:p>
    <w:p w:rsidR="00553ADE" w:rsidRPr="00170003" w:rsidRDefault="00553ADE" w:rsidP="000E7B77">
      <w:pPr>
        <w:spacing w:after="0" w:line="276" w:lineRule="auto"/>
        <w:jc w:val="both"/>
        <w:rPr>
          <w:rFonts w:ascii="Palatino Linotype" w:hAnsi="Palatino Linotype" w:cs="Tahoma"/>
          <w:sz w:val="24"/>
          <w:szCs w:val="24"/>
        </w:rPr>
      </w:pPr>
    </w:p>
    <w:p w:rsidR="00553ADE" w:rsidRPr="00170003" w:rsidRDefault="00553ADE" w:rsidP="000E7B77">
      <w:pPr>
        <w:spacing w:after="0" w:line="276" w:lineRule="auto"/>
        <w:jc w:val="center"/>
        <w:rPr>
          <w:rFonts w:ascii="Palatino Linotype" w:hAnsi="Palatino Linotype" w:cs="Tahoma"/>
          <w:b/>
          <w:sz w:val="24"/>
          <w:szCs w:val="24"/>
        </w:rPr>
      </w:pPr>
      <w:bookmarkStart w:id="0" w:name="_GoBack"/>
      <w:bookmarkEnd w:id="0"/>
      <w:r w:rsidRPr="00170003">
        <w:rPr>
          <w:rFonts w:ascii="Palatino Linotype" w:hAnsi="Palatino Linotype" w:cs="Tahoma"/>
          <w:b/>
          <w:sz w:val="24"/>
          <w:szCs w:val="24"/>
        </w:rPr>
        <w:t>(Rúbrica)</w:t>
      </w:r>
    </w:p>
    <w:p w:rsidR="00553ADE" w:rsidRPr="00170003" w:rsidRDefault="00553ADE" w:rsidP="000E7B77">
      <w:pPr>
        <w:spacing w:after="0" w:line="276" w:lineRule="auto"/>
        <w:jc w:val="both"/>
        <w:rPr>
          <w:rFonts w:ascii="Palatino Linotype" w:hAnsi="Palatino Linotype" w:cs="Tahoma"/>
          <w:sz w:val="24"/>
          <w:szCs w:val="24"/>
        </w:rPr>
      </w:pPr>
    </w:p>
    <w:p w:rsidR="00553ADE" w:rsidRPr="00170003" w:rsidRDefault="00553ADE" w:rsidP="000E7B77">
      <w:pPr>
        <w:spacing w:after="0" w:line="276" w:lineRule="auto"/>
        <w:jc w:val="center"/>
        <w:rPr>
          <w:rFonts w:ascii="Palatino Linotype" w:hAnsi="Palatino Linotype" w:cs="Tahoma"/>
          <w:b/>
          <w:sz w:val="24"/>
          <w:szCs w:val="24"/>
        </w:rPr>
      </w:pPr>
      <w:r w:rsidRPr="00170003">
        <w:rPr>
          <w:rFonts w:ascii="Palatino Linotype" w:hAnsi="Palatino Linotype" w:cs="Tahoma"/>
          <w:b/>
          <w:sz w:val="24"/>
          <w:szCs w:val="24"/>
        </w:rPr>
        <w:t>Luis Gustavo Parra Noriega</w:t>
      </w:r>
    </w:p>
    <w:p w:rsidR="00553ADE" w:rsidRPr="00170003" w:rsidRDefault="00553ADE" w:rsidP="000E7B77">
      <w:pPr>
        <w:spacing w:after="0" w:line="276" w:lineRule="auto"/>
        <w:jc w:val="center"/>
        <w:rPr>
          <w:rFonts w:ascii="Palatino Linotype" w:hAnsi="Palatino Linotype" w:cs="Tahoma"/>
          <w:sz w:val="24"/>
          <w:szCs w:val="24"/>
        </w:rPr>
      </w:pPr>
      <w:r w:rsidRPr="00170003">
        <w:rPr>
          <w:rFonts w:ascii="Palatino Linotype" w:hAnsi="Palatino Linotype" w:cs="Tahoma"/>
          <w:sz w:val="24"/>
          <w:szCs w:val="24"/>
        </w:rPr>
        <w:t>Comisionado</w:t>
      </w:r>
    </w:p>
    <w:p w:rsidR="003512C9" w:rsidRPr="007E0174" w:rsidRDefault="003512C9" w:rsidP="000E7B77">
      <w:pPr>
        <w:spacing w:after="0" w:line="276" w:lineRule="auto"/>
        <w:jc w:val="both"/>
        <w:rPr>
          <w:rFonts w:ascii="Tahoma" w:hAnsi="Tahoma" w:cs="Tahoma"/>
          <w:sz w:val="24"/>
          <w:szCs w:val="24"/>
        </w:rPr>
      </w:pPr>
    </w:p>
    <w:sectPr w:rsidR="003512C9" w:rsidRPr="007E0174"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80D" w:rsidRDefault="0016780D" w:rsidP="00EE29F6">
      <w:pPr>
        <w:spacing w:after="0" w:line="240" w:lineRule="auto"/>
      </w:pPr>
      <w:r>
        <w:separator/>
      </w:r>
    </w:p>
  </w:endnote>
  <w:endnote w:type="continuationSeparator" w:id="0">
    <w:p w:rsidR="0016780D" w:rsidRDefault="0016780D"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818245"/>
      <w:docPartObj>
        <w:docPartGallery w:val="Page Numbers (Bottom of Page)"/>
        <w:docPartUnique/>
      </w:docPartObj>
    </w:sdtPr>
    <w:sdtEndPr/>
    <w:sdtContent>
      <w:sdt>
        <w:sdtPr>
          <w:id w:val="1728636285"/>
          <w:docPartObj>
            <w:docPartGallery w:val="Page Numbers (Top of Page)"/>
            <w:docPartUnique/>
          </w:docPartObj>
        </w:sdtPr>
        <w:sdtEndPr/>
        <w:sdtContent>
          <w:p w:rsidR="00F370EF" w:rsidRDefault="00F370EF">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745549">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45549">
              <w:rPr>
                <w:b/>
                <w:bCs/>
                <w:noProof/>
              </w:rPr>
              <w:t>6</w:t>
            </w:r>
            <w:r>
              <w:rPr>
                <w:b/>
                <w:bCs/>
                <w:sz w:val="24"/>
                <w:szCs w:val="24"/>
              </w:rPr>
              <w:fldChar w:fldCharType="end"/>
            </w:r>
          </w:p>
        </w:sdtContent>
      </w:sdt>
    </w:sdtContent>
  </w:sdt>
  <w:p w:rsidR="00F370EF" w:rsidRDefault="00F370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80D" w:rsidRDefault="0016780D" w:rsidP="00EE29F6">
      <w:pPr>
        <w:spacing w:after="0" w:line="240" w:lineRule="auto"/>
      </w:pPr>
      <w:r>
        <w:separator/>
      </w:r>
    </w:p>
  </w:footnote>
  <w:footnote w:type="continuationSeparator" w:id="0">
    <w:p w:rsidR="0016780D" w:rsidRDefault="0016780D"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rsidTr="001106EA">
      <w:trPr>
        <w:trHeight w:val="2280"/>
      </w:trPr>
      <w:tc>
        <w:tcPr>
          <w:tcW w:w="2830" w:type="dxa"/>
          <w:vAlign w:val="bottom"/>
        </w:tcPr>
        <w:p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77694E" w:rsidRDefault="0077694E" w:rsidP="0077694E">
          <w:pPr>
            <w:pStyle w:val="Encabezado"/>
            <w:tabs>
              <w:tab w:val="clear" w:pos="4252"/>
              <w:tab w:val="center" w:pos="2614"/>
            </w:tabs>
          </w:pPr>
        </w:p>
      </w:tc>
      <w:tc>
        <w:tcPr>
          <w:tcW w:w="6237" w:type="dxa"/>
          <w:vAlign w:val="center"/>
        </w:tcPr>
        <w:p w:rsidR="001106EA" w:rsidRPr="00170003" w:rsidRDefault="001106EA" w:rsidP="001106EA">
          <w:pPr>
            <w:pStyle w:val="Encabezado"/>
            <w:ind w:left="-108" w:right="-250"/>
            <w:jc w:val="both"/>
            <w:rPr>
              <w:rFonts w:ascii="Palatino Linotype" w:hAnsi="Palatino Linotype" w:cs="Tahoma"/>
              <w:sz w:val="24"/>
              <w:szCs w:val="24"/>
            </w:rPr>
          </w:pPr>
        </w:p>
        <w:p w:rsidR="001106EA" w:rsidRPr="00170003" w:rsidRDefault="001106EA" w:rsidP="001106EA">
          <w:pPr>
            <w:pStyle w:val="Encabezado"/>
            <w:ind w:left="-108" w:right="-250"/>
            <w:jc w:val="both"/>
            <w:rPr>
              <w:rFonts w:ascii="Palatino Linotype" w:hAnsi="Palatino Linotype" w:cs="Tahoma"/>
              <w:b/>
              <w:sz w:val="24"/>
              <w:szCs w:val="24"/>
            </w:rPr>
          </w:pPr>
          <w:r w:rsidRPr="00170003">
            <w:rPr>
              <w:rFonts w:ascii="Palatino Linotype" w:hAnsi="Palatino Linotype" w:cs="Tahoma"/>
              <w:b/>
              <w:sz w:val="24"/>
              <w:szCs w:val="24"/>
            </w:rPr>
            <w:t>Voto Particular</w:t>
          </w:r>
        </w:p>
        <w:p w:rsidR="0077694E" w:rsidRDefault="001106EA" w:rsidP="0037237D">
          <w:pPr>
            <w:pStyle w:val="Encabezado"/>
            <w:ind w:left="-108" w:right="-250"/>
            <w:jc w:val="both"/>
            <w:rPr>
              <w:rFonts w:ascii="Palatino Linotype" w:hAnsi="Palatino Linotype" w:cs="Tahoma"/>
              <w:b/>
              <w:sz w:val="24"/>
              <w:szCs w:val="24"/>
              <w:lang w:val="es-MX"/>
            </w:rPr>
          </w:pPr>
          <w:r w:rsidRPr="00170003">
            <w:rPr>
              <w:rFonts w:ascii="Palatino Linotype" w:hAnsi="Palatino Linotype" w:cs="Tahoma"/>
              <w:b/>
              <w:sz w:val="24"/>
              <w:szCs w:val="24"/>
            </w:rPr>
            <w:t xml:space="preserve">Recurso de Revisión: </w:t>
          </w:r>
          <w:r w:rsidR="0077488C" w:rsidRPr="00170003">
            <w:rPr>
              <w:rFonts w:ascii="Palatino Linotype" w:hAnsi="Palatino Linotype" w:cs="Tahoma"/>
              <w:b/>
              <w:sz w:val="24"/>
              <w:szCs w:val="24"/>
              <w:lang w:val="es-MX"/>
            </w:rPr>
            <w:t>03061/INFOEM/IP/RR/2018</w:t>
          </w:r>
        </w:p>
        <w:p w:rsidR="003410EA" w:rsidRPr="00170003" w:rsidRDefault="003410EA" w:rsidP="0037237D">
          <w:pPr>
            <w:pStyle w:val="Encabezado"/>
            <w:ind w:left="-108" w:right="-250"/>
            <w:jc w:val="both"/>
            <w:rPr>
              <w:rFonts w:ascii="Palatino Linotype" w:hAnsi="Palatino Linotype" w:cs="Tahoma"/>
              <w:b/>
              <w:sz w:val="24"/>
              <w:szCs w:val="24"/>
            </w:rPr>
          </w:pPr>
          <w:r>
            <w:rPr>
              <w:rFonts w:ascii="Palatino Linotype" w:hAnsi="Palatino Linotype" w:cs="Tahoma"/>
              <w:b/>
              <w:sz w:val="24"/>
              <w:szCs w:val="24"/>
              <w:lang w:val="es-MX"/>
            </w:rPr>
            <w:t>Sujeto Obligado: Ayuntamiento de Ixtapaluca</w:t>
          </w:r>
        </w:p>
        <w:p w:rsidR="0081690C" w:rsidRPr="0077488C" w:rsidRDefault="0081690C" w:rsidP="0037237D">
          <w:pPr>
            <w:pStyle w:val="Encabezado"/>
            <w:ind w:left="-108" w:right="-250"/>
            <w:jc w:val="both"/>
            <w:rPr>
              <w:rFonts w:ascii="Palatino Linotype" w:hAnsi="Palatino Linotype" w:cs="Tahoma"/>
            </w:rPr>
          </w:pPr>
          <w:r w:rsidRPr="00170003">
            <w:rPr>
              <w:rFonts w:ascii="Palatino Linotype" w:hAnsi="Palatino Linotype" w:cs="Tahoma"/>
              <w:b/>
              <w:sz w:val="24"/>
              <w:szCs w:val="24"/>
            </w:rPr>
            <w:t xml:space="preserve">Comisionada Ponente: </w:t>
          </w:r>
          <w:r w:rsidR="0077488C" w:rsidRPr="00170003">
            <w:rPr>
              <w:rFonts w:ascii="Palatino Linotype" w:hAnsi="Palatino Linotype" w:cs="Tahoma"/>
              <w:b/>
              <w:sz w:val="24"/>
              <w:szCs w:val="24"/>
              <w:lang w:val="es-MX"/>
            </w:rPr>
            <w:t>Zulema Martínez Sánchez</w:t>
          </w:r>
        </w:p>
      </w:tc>
    </w:tr>
  </w:tbl>
  <w:p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666CCB"/>
    <w:multiLevelType w:val="hybridMultilevel"/>
    <w:tmpl w:val="ED94E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B8E2722"/>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0"/>
  </w:num>
  <w:num w:numId="5">
    <w:abstractNumId w:val="8"/>
  </w:num>
  <w:num w:numId="6">
    <w:abstractNumId w:val="2"/>
  </w:num>
  <w:num w:numId="7">
    <w:abstractNumId w:val="6"/>
  </w:num>
  <w:num w:numId="8">
    <w:abstractNumId w:val="13"/>
  </w:num>
  <w:num w:numId="9">
    <w:abstractNumId w:val="9"/>
  </w:num>
  <w:num w:numId="10">
    <w:abstractNumId w:val="12"/>
  </w:num>
  <w:num w:numId="11">
    <w:abstractNumId w:val="5"/>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20D08"/>
    <w:rsid w:val="000301C6"/>
    <w:rsid w:val="00032450"/>
    <w:rsid w:val="00040DD1"/>
    <w:rsid w:val="00060F74"/>
    <w:rsid w:val="0006561A"/>
    <w:rsid w:val="00087AC8"/>
    <w:rsid w:val="00092DF2"/>
    <w:rsid w:val="000B235B"/>
    <w:rsid w:val="000B7F6F"/>
    <w:rsid w:val="000C10B7"/>
    <w:rsid w:val="000D186F"/>
    <w:rsid w:val="000E0463"/>
    <w:rsid w:val="000E1146"/>
    <w:rsid w:val="000E7B77"/>
    <w:rsid w:val="001106EA"/>
    <w:rsid w:val="00113C9C"/>
    <w:rsid w:val="001159DC"/>
    <w:rsid w:val="00116E1A"/>
    <w:rsid w:val="00136AD8"/>
    <w:rsid w:val="00140A57"/>
    <w:rsid w:val="00141FFF"/>
    <w:rsid w:val="0014736A"/>
    <w:rsid w:val="00157620"/>
    <w:rsid w:val="001607BB"/>
    <w:rsid w:val="00162325"/>
    <w:rsid w:val="0016780D"/>
    <w:rsid w:val="00170003"/>
    <w:rsid w:val="00172FA3"/>
    <w:rsid w:val="0018472D"/>
    <w:rsid w:val="00193AA8"/>
    <w:rsid w:val="001959E4"/>
    <w:rsid w:val="001A145C"/>
    <w:rsid w:val="001C1C64"/>
    <w:rsid w:val="001C714F"/>
    <w:rsid w:val="00202FF5"/>
    <w:rsid w:val="00217CF5"/>
    <w:rsid w:val="00231B68"/>
    <w:rsid w:val="00243A13"/>
    <w:rsid w:val="0028037C"/>
    <w:rsid w:val="002A1727"/>
    <w:rsid w:val="002A2EE7"/>
    <w:rsid w:val="002C2405"/>
    <w:rsid w:val="002D3AA1"/>
    <w:rsid w:val="002E5A1A"/>
    <w:rsid w:val="002E6535"/>
    <w:rsid w:val="003410EA"/>
    <w:rsid w:val="003512C9"/>
    <w:rsid w:val="0037237D"/>
    <w:rsid w:val="003A10D0"/>
    <w:rsid w:val="003A71C0"/>
    <w:rsid w:val="003B6547"/>
    <w:rsid w:val="003B7A5E"/>
    <w:rsid w:val="003C3A8C"/>
    <w:rsid w:val="003E5D1D"/>
    <w:rsid w:val="003E698F"/>
    <w:rsid w:val="003F2426"/>
    <w:rsid w:val="0040139C"/>
    <w:rsid w:val="004211BB"/>
    <w:rsid w:val="00433746"/>
    <w:rsid w:val="00434C88"/>
    <w:rsid w:val="00435E69"/>
    <w:rsid w:val="00445BDF"/>
    <w:rsid w:val="0046197F"/>
    <w:rsid w:val="00490F50"/>
    <w:rsid w:val="004A4555"/>
    <w:rsid w:val="004B2EE2"/>
    <w:rsid w:val="004B541F"/>
    <w:rsid w:val="004B5C9A"/>
    <w:rsid w:val="004C4912"/>
    <w:rsid w:val="004E7007"/>
    <w:rsid w:val="004F350F"/>
    <w:rsid w:val="00524DA5"/>
    <w:rsid w:val="00542CB5"/>
    <w:rsid w:val="00544812"/>
    <w:rsid w:val="005523D2"/>
    <w:rsid w:val="00553ADE"/>
    <w:rsid w:val="0056120D"/>
    <w:rsid w:val="00582CCB"/>
    <w:rsid w:val="00584D73"/>
    <w:rsid w:val="0059329D"/>
    <w:rsid w:val="005A2510"/>
    <w:rsid w:val="005B4018"/>
    <w:rsid w:val="005B7EB8"/>
    <w:rsid w:val="005C094E"/>
    <w:rsid w:val="005C225B"/>
    <w:rsid w:val="005C73EE"/>
    <w:rsid w:val="005D11C8"/>
    <w:rsid w:val="005E2798"/>
    <w:rsid w:val="005F3B38"/>
    <w:rsid w:val="00605683"/>
    <w:rsid w:val="006248F2"/>
    <w:rsid w:val="006449B9"/>
    <w:rsid w:val="00645087"/>
    <w:rsid w:val="00654ACD"/>
    <w:rsid w:val="00680B30"/>
    <w:rsid w:val="00682003"/>
    <w:rsid w:val="00684B16"/>
    <w:rsid w:val="006958AD"/>
    <w:rsid w:val="00695913"/>
    <w:rsid w:val="006E2ED0"/>
    <w:rsid w:val="006F5316"/>
    <w:rsid w:val="00724F08"/>
    <w:rsid w:val="00731E19"/>
    <w:rsid w:val="007378E2"/>
    <w:rsid w:val="00741E70"/>
    <w:rsid w:val="00742A15"/>
    <w:rsid w:val="00745549"/>
    <w:rsid w:val="0077488C"/>
    <w:rsid w:val="0077694E"/>
    <w:rsid w:val="007A18DC"/>
    <w:rsid w:val="007A236B"/>
    <w:rsid w:val="007A2D13"/>
    <w:rsid w:val="007D30ED"/>
    <w:rsid w:val="007D3257"/>
    <w:rsid w:val="007E0174"/>
    <w:rsid w:val="007F1C1D"/>
    <w:rsid w:val="007F7D80"/>
    <w:rsid w:val="0081690C"/>
    <w:rsid w:val="00836BC2"/>
    <w:rsid w:val="00861757"/>
    <w:rsid w:val="00865F2E"/>
    <w:rsid w:val="008A3DA9"/>
    <w:rsid w:val="008B08C9"/>
    <w:rsid w:val="00906D44"/>
    <w:rsid w:val="00922B2E"/>
    <w:rsid w:val="00927BD1"/>
    <w:rsid w:val="00927FD1"/>
    <w:rsid w:val="00950355"/>
    <w:rsid w:val="00957FF3"/>
    <w:rsid w:val="00974836"/>
    <w:rsid w:val="009943E1"/>
    <w:rsid w:val="009B2C0B"/>
    <w:rsid w:val="009D07E2"/>
    <w:rsid w:val="009D14D2"/>
    <w:rsid w:val="009D49BE"/>
    <w:rsid w:val="009E41F7"/>
    <w:rsid w:val="009F6181"/>
    <w:rsid w:val="00A13BE9"/>
    <w:rsid w:val="00A34659"/>
    <w:rsid w:val="00A364BA"/>
    <w:rsid w:val="00A37655"/>
    <w:rsid w:val="00A5061A"/>
    <w:rsid w:val="00A63A51"/>
    <w:rsid w:val="00A87924"/>
    <w:rsid w:val="00AA090B"/>
    <w:rsid w:val="00AF3B6B"/>
    <w:rsid w:val="00B263C5"/>
    <w:rsid w:val="00B51034"/>
    <w:rsid w:val="00B53028"/>
    <w:rsid w:val="00B61D0B"/>
    <w:rsid w:val="00B67355"/>
    <w:rsid w:val="00B7393F"/>
    <w:rsid w:val="00B761B1"/>
    <w:rsid w:val="00BB6EE3"/>
    <w:rsid w:val="00BC4882"/>
    <w:rsid w:val="00BC6D84"/>
    <w:rsid w:val="00BD4705"/>
    <w:rsid w:val="00BD5DBE"/>
    <w:rsid w:val="00BD6DB9"/>
    <w:rsid w:val="00C03E23"/>
    <w:rsid w:val="00C30FD6"/>
    <w:rsid w:val="00C44CA4"/>
    <w:rsid w:val="00C55FFC"/>
    <w:rsid w:val="00C60A03"/>
    <w:rsid w:val="00C75CE0"/>
    <w:rsid w:val="00CA050D"/>
    <w:rsid w:val="00CA2787"/>
    <w:rsid w:val="00CA2EF1"/>
    <w:rsid w:val="00CA7627"/>
    <w:rsid w:val="00CE50F9"/>
    <w:rsid w:val="00D05740"/>
    <w:rsid w:val="00D13875"/>
    <w:rsid w:val="00D160F2"/>
    <w:rsid w:val="00D20732"/>
    <w:rsid w:val="00D368B3"/>
    <w:rsid w:val="00D51426"/>
    <w:rsid w:val="00D51D90"/>
    <w:rsid w:val="00D55429"/>
    <w:rsid w:val="00D65D0C"/>
    <w:rsid w:val="00D666D4"/>
    <w:rsid w:val="00D7239D"/>
    <w:rsid w:val="00D75FAE"/>
    <w:rsid w:val="00D77F63"/>
    <w:rsid w:val="00D9114A"/>
    <w:rsid w:val="00D9210C"/>
    <w:rsid w:val="00DA11C0"/>
    <w:rsid w:val="00DC26CE"/>
    <w:rsid w:val="00E145E1"/>
    <w:rsid w:val="00E22CDE"/>
    <w:rsid w:val="00E26123"/>
    <w:rsid w:val="00E3399E"/>
    <w:rsid w:val="00E34559"/>
    <w:rsid w:val="00E41481"/>
    <w:rsid w:val="00E416F8"/>
    <w:rsid w:val="00E6596A"/>
    <w:rsid w:val="00E82F77"/>
    <w:rsid w:val="00E83683"/>
    <w:rsid w:val="00E93B0A"/>
    <w:rsid w:val="00EB6B98"/>
    <w:rsid w:val="00EB7128"/>
    <w:rsid w:val="00EE18E8"/>
    <w:rsid w:val="00EE29F6"/>
    <w:rsid w:val="00F0484C"/>
    <w:rsid w:val="00F14384"/>
    <w:rsid w:val="00F17315"/>
    <w:rsid w:val="00F370EF"/>
    <w:rsid w:val="00F8595A"/>
    <w:rsid w:val="00F94DFB"/>
    <w:rsid w:val="00FA7B69"/>
    <w:rsid w:val="00FB3044"/>
    <w:rsid w:val="00FC1D9D"/>
    <w:rsid w:val="00FC392D"/>
    <w:rsid w:val="00FD1849"/>
    <w:rsid w:val="00FD3150"/>
    <w:rsid w:val="00FD530D"/>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BB0D7C-0352-49D3-9D08-15DB3F46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96A"/>
  </w:style>
  <w:style w:type="paragraph" w:styleId="Ttulo1">
    <w:name w:val="heading 1"/>
    <w:basedOn w:val="Normal"/>
    <w:next w:val="Normal"/>
    <w:link w:val="Ttulo1Car"/>
    <w:uiPriority w:val="9"/>
    <w:qFormat/>
    <w:rsid w:val="007E0174"/>
    <w:pPr>
      <w:keepNext/>
      <w:keepLines/>
      <w:spacing w:before="240" w:after="0"/>
      <w:outlineLvl w:val="0"/>
    </w:pPr>
    <w:rPr>
      <w:rFonts w:ascii="Palatino Linotype" w:eastAsiaTheme="majorEastAsia" w:hAnsi="Palatino Linotype" w:cstheme="majorBidi"/>
      <w:b/>
      <w:sz w:val="24"/>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943E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40DD1"/>
  </w:style>
  <w:style w:type="character" w:customStyle="1" w:styleId="Ttulo1Car">
    <w:name w:val="Título 1 Car"/>
    <w:basedOn w:val="Fuentedeprrafopredeter"/>
    <w:link w:val="Ttulo1"/>
    <w:uiPriority w:val="9"/>
    <w:rsid w:val="007E0174"/>
    <w:rPr>
      <w:rFonts w:ascii="Palatino Linotype" w:eastAsiaTheme="majorEastAsia" w:hAnsi="Palatino Linotype" w:cstheme="majorBidi"/>
      <w:b/>
      <w:sz w:val="24"/>
      <w:szCs w:val="3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76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C2F83-6209-4D9D-B278-200C92F8B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1706</Words>
  <Characters>9389</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18</cp:revision>
  <cp:lastPrinted>2018-09-17T20:45:00Z</cp:lastPrinted>
  <dcterms:created xsi:type="dcterms:W3CDTF">2018-10-19T20:03:00Z</dcterms:created>
  <dcterms:modified xsi:type="dcterms:W3CDTF">2018-10-22T18:21:00Z</dcterms:modified>
</cp:coreProperties>
</file>